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24661" w14:textId="9f24661">
      <w:pPr>
        <w:pStyle w:val="TitleStyle"/>
        <w15:collapsed w:val="false"/>
      </w:pPr>
      <w:r>
        <w:t>Rehabilitacja zawodowa i społeczna oraz zatrudnianie osób niepełnosprawnych.</w:t>
      </w:r>
    </w:p>
    <w:p>
      <w:pPr>
        <w:pStyle w:val="NormalStyle"/>
      </w:pPr>
      <w:r>
        <w:t>Dz.U.2018.511 t.j. z dnia 2018.03.12</w:t>
      </w:r>
    </w:p>
    <w:p>
      <w:pPr>
        <w:pStyle w:val="NormalStyle"/>
      </w:pPr>
      <w:r>
        <w:t>Status: Akt obowiązujący </w:t>
      </w:r>
    </w:p>
    <w:p>
      <w:pPr>
        <w:pStyle w:val="NormalStyle"/>
      </w:pPr>
      <w:r>
        <w:t>Wersja od: 2 stycznia 2019 r. </w:t>
      </w:r>
    </w:p>
    <w:p>
      <w:pPr>
        <w:spacing w:after="0"/>
        <w:ind w:left="0"/>
        <w:jc w:val="left"/>
        <w:textAlignment w:val="auto"/>
      </w:pPr>
      <w:r>
        <w:br/>
      </w:r>
    </w:p>
    <w:p>
      <w:pPr>
        <w:numPr>
          <w:ilvl w:val="0"/>
          <w:numId w:val="1"/>
        </w:numPr>
        <w:spacing w:after="0"/>
        <w:ind w:left="0"/>
        <w:jc w:val="left"/>
        <w:textAlignment w:val="auto"/>
      </w:pPr>
    </w:p>
    <w:p>
      <w:pPr>
        <w:spacing w:after="0"/>
        <w:ind w:left="0"/>
        <w:jc w:val="left"/>
        <w:textAlignment w:val="auto"/>
      </w:pPr>
      <w:r>
        <w:rPr>
          <w:rFonts w:ascii="Times New Roman"/>
          <w:b/>
          <w:i w:val="false"/>
          <w:color w:val="000000"/>
          <w:sz w:val="22"/>
          <w:lang w:val="pl-Pl"/>
        </w:rPr>
        <w:t>Wejście w życie:</w:t>
      </w:r>
    </w:p>
    <w:p>
      <w:pPr>
        <w:spacing w:after="0"/>
        <w:ind w:left="0"/>
        <w:jc w:val="left"/>
        <w:textAlignment w:val="auto"/>
      </w:pPr>
      <w:r>
        <w:rPr>
          <w:rFonts w:ascii="Times New Roman"/>
          <w:b w:val="false"/>
          <w:i w:val="false"/>
          <w:color w:val="000000"/>
          <w:sz w:val="22"/>
          <w:lang w:val="pl-Pl"/>
        </w:rPr>
        <w:t>1 stycznia 1998 r.</w:t>
      </w:r>
      <w:r>
        <w:rPr>
          <w:rFonts w:ascii="Times New Roman"/>
          <w:b w:val="false"/>
          <w:i w:val="false"/>
          <w:color w:val="000000"/>
          <w:sz w:val="22"/>
          <w:lang w:val="pl-Pl"/>
        </w:rPr>
        <w:t>,
</w:t>
      </w:r>
      <w:r>
        <w:rPr>
          <w:rFonts w:ascii="Times New Roman"/>
          <w:b w:val="false"/>
          <w:i w:val="false"/>
          <w:color w:val="000000"/>
          <w:sz w:val="22"/>
          <w:lang w:val="pl-Pl"/>
        </w:rPr>
        <w:t>9 października 1997 r.</w:t>
      </w:r>
      <w:r>
        <w:rPr>
          <w:rFonts w:ascii="Times New Roman"/>
          <w:b w:val="false"/>
          <w:i w:val="false"/>
          <w:color w:val="000000"/>
          <w:sz w:val="22"/>
          <w:lang w:val="pl-Pl"/>
        </w:rPr>
        <w:t>,
</w:t>
      </w:r>
      <w:r>
        <w:rPr>
          <w:rFonts w:ascii="Times New Roman"/>
          <w:b w:val="false"/>
          <w:i w:val="false"/>
          <w:color w:val="000000"/>
          <w:sz w:val="22"/>
          <w:lang w:val="pl-Pl"/>
        </w:rPr>
        <w:t>1 stycznia 1999 r.</w:t>
      </w:r>
    </w:p>
    <w:p>
      <w:pPr>
        <w:spacing w:after="0"/>
        <w:ind w:left="0"/>
        <w:jc w:val="left"/>
        <w:textAlignment w:val="auto"/>
      </w:pPr>
      <w:r>
        <w:rPr>
          <w:rFonts w:ascii="Times New Roman"/>
          <w:b/>
          <w:i w:val="false"/>
          <w:color w:val="000000"/>
          <w:sz w:val="22"/>
          <w:lang w:val="pl-Pl"/>
        </w:rPr>
        <w:t>zobacz:</w:t>
      </w:r>
    </w:p>
    <w:p>
      <w:pPr>
        <w:numPr>
          <w:ilvl w:val="1"/>
          <w:numId w:val="1"/>
        </w:numPr>
        <w:spacing w:after="0"/>
        <w:ind w:left="0"/>
        <w:jc w:val="left"/>
        <w:textAlignment w:val="auto"/>
      </w:pPr>
      <w:r>
        <w:rPr>
          <w:rFonts w:ascii="Times New Roman"/>
          <w:b w:val="false"/>
          <w:i w:val="false"/>
          <w:color w:val="000000"/>
          <w:sz w:val="22"/>
          <w:lang w:val="pl-Pl"/>
        </w:rPr>
        <w:t>
art. 70
</w:t>
      </w:r>
    </w:p>
    <w:p>
      <w:pPr>
        <w:spacing w:after="0"/>
        <w:ind w:left="0"/>
        <w:jc w:val="left"/>
        <w:textAlignment w:val="auto"/>
      </w:pPr>
      <w:r>
        <w:rPr>
          <w:rFonts w:ascii="Times New Roman"/>
          <w:b w:val="false"/>
          <w:i w:val="false"/>
          <w:color w:val="000000"/>
          <w:sz w:val="22"/>
          <w:lang w:val="pl-Pl"/>
        </w:rPr>
        <w:t xml:space="preserve">Art. 70. </w:t>
      </w:r>
      <w:r>
        <w:rPr>
          <w:rFonts w:ascii="Times New Roman"/>
          <w:b w:val="false"/>
          <w:i w:val="false"/>
          <w:color w:val="000000"/>
          <w:sz w:val="22"/>
          <w:lang w:val="pl-Pl"/>
        </w:rPr>
        <w:t xml:space="preserve"> [Wejście w życie ustawy]</w:t>
      </w:r>
    </w:p>
    <w:p>
      <w:pPr>
        <w:spacing w:before="25" w:after="0"/>
        <w:ind w:left="0"/>
        <w:jc w:val="left"/>
        <w:textAlignment w:val="auto"/>
      </w:pPr>
      <w:r>
        <w:rPr>
          <w:rFonts w:ascii="Times New Roman"/>
          <w:b w:val="false"/>
          <w:i w:val="false"/>
          <w:color w:val="000000"/>
          <w:sz w:val="22"/>
          <w:lang w:val="pl-Pl"/>
        </w:rPr>
        <w:t>Ustawa wchodzi w życie z dniem 1 stycznia 1998 r., z tym że:</w:t>
      </w:r>
    </w:p>
    <w:p>
      <w:pPr>
        <w:spacing w:after="0"/>
        <w:ind w:left="0"/>
        <w:jc w:val="left"/>
        <w:textAlignment w:val="auto"/>
      </w:pPr>
      <w:r>
        <w:rPr>
          <w:rFonts w:ascii="Times New Roman"/>
          <w:b w:val="false"/>
          <w:i w:val="false"/>
          <w:color w:val="000000"/>
          <w:sz w:val="22"/>
          <w:lang w:val="pl-Pl"/>
        </w:rPr>
        <w:t>art. 6 ust. 7 wchodzi w życie z dniem ogłoszenia z mocą od dnia 1 września 1997 r.;</w:t>
      </w:r>
    </w:p>
    <w:p>
      <w:pPr>
        <w:spacing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art. 21 wchodzi w życie z dniem 1 stycznia 1999 r.;</w:t>
      </w:r>
    </w:p>
    <w:p>
      <w:pPr>
        <w:spacing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art. 31 ust. 1 pkt 2 oraz art. 59 wchodzą w życie z dniem ogłoszenia.</w:t>
      </w:r>
    </w:p>
    <w:p>
      <w:pPr>
        <w:spacing w:after="0"/>
        <w:ind w:left="0"/>
        <w:jc w:val="left"/>
        <w:textAlignment w:val="auto"/>
      </w:pPr>
      <w:r>
        <w:rPr>
          <w:rFonts w:ascii="Times New Roman"/>
          <w:b/>
          <w:i w:val="false"/>
          <w:color w:val="000000"/>
          <w:sz w:val="22"/>
          <w:lang w:val="pl-Pl"/>
        </w:rPr>
        <w:t>Moc wsteczna:</w:t>
      </w:r>
    </w:p>
    <w:p>
      <w:pPr>
        <w:spacing w:after="0"/>
        <w:ind w:left="0"/>
        <w:jc w:val="left"/>
        <w:textAlignment w:val="auto"/>
      </w:pPr>
      <w:r>
        <w:rPr>
          <w:rFonts w:ascii="Times New Roman"/>
          <w:b w:val="false"/>
          <w:i w:val="false"/>
          <w:color w:val="000000"/>
          <w:sz w:val="22"/>
          <w:lang w:val="pl-Pl"/>
        </w:rPr>
        <w:t>1 września 1997</w:t>
      </w:r>
      <w:r>
        <w:rPr>
          <w:rFonts w:ascii="Times New Roman"/>
          <w:b w:val="false"/>
          <w:i w:val="false"/>
          <w:color w:val="000000"/>
          <w:sz w:val="22"/>
          <w:lang w:val="pl-Pl"/>
        </w:rPr>
        <w:t>r.</w:t>
      </w:r>
    </w:p>
    <w:p>
      <w:pPr>
        <w:spacing w:after="0"/>
        <w:ind w:left="0"/>
        <w:jc w:val="left"/>
        <w:textAlignment w:val="auto"/>
      </w:pPr>
      <w:r>
        <w:br/>
      </w:r>
    </w:p>
    <w:p>
      <w:pPr>
        <w:spacing w:before="146" w:after="0"/>
        <w:ind w:left="0"/>
        <w:jc w:val="center"/>
        <w:textAlignment w:val="auto"/>
      </w:pPr>
      <w:r>
        <w:rPr>
          <w:rFonts w:ascii="Times New Roman"/>
          <w:b/>
          <w:i w:val="false"/>
          <w:color w:val="000000"/>
          <w:sz w:val="22"/>
          <w:lang w:val="pl-Pl"/>
        </w:rPr>
        <w:t>USTAWA</w:t>
      </w:r>
    </w:p>
    <w:p>
      <w:pPr>
        <w:spacing w:before="80" w:after="0"/>
        <w:ind w:left="0"/>
        <w:jc w:val="center"/>
        <w:textAlignment w:val="auto"/>
      </w:pPr>
      <w:r>
        <w:rPr>
          <w:rFonts w:ascii="Times New Roman"/>
          <w:b w:val="false"/>
          <w:i w:val="false"/>
          <w:color w:val="000000"/>
          <w:sz w:val="22"/>
          <w:lang w:val="pl-Pl"/>
        </w:rPr>
        <w:t>z dnia 27 sierpnia 1997 r.</w:t>
      </w:r>
    </w:p>
    <w:p>
      <w:pPr>
        <w:spacing w:before="80" w:after="0"/>
        <w:ind w:left="0"/>
        <w:jc w:val="center"/>
        <w:textAlignment w:val="auto"/>
      </w:pPr>
      <w:r>
        <w:rPr>
          <w:rFonts w:ascii="Times New Roman"/>
          <w:b/>
          <w:i w:val="false"/>
          <w:color w:val="000000"/>
          <w:sz w:val="22"/>
          <w:lang w:val="pl-Pl"/>
        </w:rPr>
        <w:t xml:space="preserve">o rehabilitacji zawodowej i społecznej oraz zatrudnianiu osób niepełnosprawnych </w:t>
      </w:r>
      <w:r>
        <w:rPr>
          <w:rFonts w:ascii="Times New Roman"/>
          <w:b/>
          <w:i w:val="false"/>
          <w:color w:val="000000"/>
          <w:sz w:val="22"/>
          <w:vertAlign w:val="superscript"/>
          <w:lang w:val="pl-Pl"/>
        </w:rPr>
        <w:t>1</w:t>
      </w:r>
      <w:r>
        <w:rPr>
          <w:rFonts w:ascii="Times New Roman"/>
          <w:b/>
          <w:i w:val="false"/>
          <w:color w:val="000000"/>
          <w:sz w:val="22"/>
          <w:lang w:val="pl-Pl"/>
        </w:rPr>
        <w:t xml:space="preserve"> </w:t>
      </w:r>
    </w:p>
    <w:p>
      <w:pPr>
        <w:spacing w:before="320" w:after="320"/>
        <w:ind w:left="0"/>
        <w:jc w:val="center"/>
      </w:pPr>
      <w:r>
        <w:rPr>
          <w:sz w:val="22"/>
          <w:lang w:val="pl-Pl"/>
        </w:rPr>
        <w:t>(T.j. Dz. U. z 2018 r. poz. 511; zm.: Dz. U. z 2017 r. poz. 2494 oraz z 2018 r. poz. 1000, poz. 1076, poz. 1925, poz. 2192 i poz. 2354.)</w:t>
      </w:r>
    </w:p>
    <w:p>
      <w:pPr>
        <w:spacing w:before="146" w:after="0"/>
        <w:ind w:left="0"/>
        <w:jc w:val="center"/>
        <w:textAlignment w:val="auto"/>
      </w:pPr>
      <w:r>
        <w:rPr>
          <w:rFonts w:ascii="Times New Roman"/>
          <w:b/>
          <w:i w:val="false"/>
          <w:color w:val="000000"/>
          <w:sz w:val="22"/>
          <w:lang w:val="pl-Pl"/>
        </w:rPr>
        <w:t xml:space="preserve">Rozdział 1 </w:t>
      </w:r>
    </w:p>
    <w:p>
      <w:pPr>
        <w:spacing w:before="25" w:after="0"/>
        <w:ind w:left="0"/>
        <w:jc w:val="center"/>
        <w:textAlignment w:val="auto"/>
      </w:pPr>
      <w:r>
        <w:rPr>
          <w:rFonts w:ascii="Times New Roman"/>
          <w:b/>
          <w:i w:val="false"/>
          <w:color w:val="000000"/>
          <w:sz w:val="22"/>
          <w:lang w:val="pl-Pl"/>
        </w:rPr>
        <w:t>Przepisy ogólne</w:t>
      </w:r>
    </w:p>
    <w:p>
      <w:pPr>
        <w:spacing w:before="80" w:after="0"/>
        <w:ind w:left="0"/>
        <w:jc w:val="left"/>
        <w:textAlignment w:val="auto"/>
      </w:pPr>
      <w:r>
        <w:rPr>
          <w:rFonts w:ascii="Times New Roman"/>
          <w:b/>
          <w:i w:val="false"/>
          <w:color w:val="000000"/>
          <w:sz w:val="22"/>
          <w:lang w:val="pl-Pl"/>
        </w:rPr>
        <w:t xml:space="preserve">Art. 1. </w:t>
      </w:r>
      <w:r>
        <w:rPr>
          <w:rFonts w:ascii="Times New Roman"/>
          <w:b/>
          <w:i w:val="false"/>
          <w:color w:val="000000"/>
          <w:sz w:val="22"/>
          <w:lang w:val="pl-Pl"/>
        </w:rPr>
        <w:t xml:space="preserve"> [Przedmiot ustawy]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Ustawa dotyczy osób, których niepełnosprawność została potwierdzona orzeczeniem:</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 zakwalifikowaniu przez organy orzekające do jednego z trzech stopni niepełnosprawności określonych w art. 3 lub</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 całkowitej lub częściowej niezdolności do pracy na podstawie odrębnych przepisów, lub</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 niepełnosprawności, wydanym przed ukończeniem 16 roku życia</w:t>
      </w:r>
    </w:p>
    <w:p>
      <w:pPr>
        <w:spacing w:before="25" w:after="0"/>
        <w:ind w:left="0"/>
        <w:jc w:val="both"/>
        <w:textAlignment w:val="auto"/>
      </w:pPr>
      <w:r>
        <w:rPr>
          <w:rFonts w:ascii="Times New Roman"/>
          <w:b w:val="false"/>
          <w:i w:val="false"/>
          <w:color w:val="000000"/>
          <w:sz w:val="22"/>
          <w:lang w:val="pl-Pl"/>
        </w:rPr>
        <w:t>- zwanych dalej "osobami niepełnosprawnymi".</w:t>
      </w:r>
    </w:p>
    <w:p>
      <w:pPr>
        <w:spacing w:before="80" w:after="0"/>
        <w:ind w:left="0"/>
        <w:jc w:val="left"/>
        <w:textAlignment w:val="auto"/>
      </w:pPr>
      <w:r>
        <w:rPr>
          <w:rFonts w:ascii="Times New Roman"/>
          <w:b/>
          <w:i w:val="false"/>
          <w:color w:val="000000"/>
          <w:sz w:val="22"/>
          <w:lang w:val="pl-Pl"/>
        </w:rPr>
        <w:t xml:space="preserve">Art. 2. </w:t>
      </w:r>
      <w:r>
        <w:rPr>
          <w:rFonts w:ascii="Times New Roman"/>
          <w:b/>
          <w:i w:val="false"/>
          <w:color w:val="000000"/>
          <w:sz w:val="22"/>
          <w:lang w:val="pl-Pl"/>
        </w:rPr>
        <w:t xml:space="preserve"> [Definicje]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Ilekroć w ustawie jest mowa 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najniższym wynagrodzeniu - oznacza to minimalne wynagrodzenie za pracę obowiązujące w grudniu roku poprzedniego, ustalane na podstawie odrębnych przepisów;</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osobie niepełnosprawnej bezrobotnej lub niepełnosprawnej poszukującej pracy - oznacza to osobę niepełnosprawną bezrobotną lub niepełnosprawną poszukującą pracy w rozumieniu przepisów o promocji zatrudnienia i instytucjach rynku pracy;</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organizacjach pozarządowych - oznacza to organizacje pozarządowe oraz podmioty wymienione w </w:t>
      </w:r>
      <w:r>
        <w:rPr>
          <w:rFonts w:ascii="Times New Roman"/>
          <w:b w:val="false"/>
          <w:i w:val="false"/>
          <w:color w:val="1b1b1b"/>
          <w:sz w:val="22"/>
          <w:lang w:val="pl-Pl"/>
        </w:rPr>
        <w:t>art. 3 ust. 3</w:t>
      </w:r>
      <w:r>
        <w:rPr>
          <w:rFonts w:ascii="Times New Roman"/>
          <w:b w:val="false"/>
          <w:i w:val="false"/>
          <w:color w:val="000000"/>
          <w:sz w:val="22"/>
          <w:lang w:val="pl-Pl"/>
        </w:rPr>
        <w:t xml:space="preserve"> ustawy z dnia 24 kwietnia 2003 r. o działalności pożytku publicznego i o wolontariacie (Dz. U. z 2016 r. poz. 1817 i 1948 oraz z 2017 r. poz. 60, 573 i 1909);</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 xml:space="preserve">przeciętnym wynagrodzeniu - oznacza to przeciętne miesięczne wynagrodzenie w gospodarce narodowej w poprzednim kwartale od pierwszego dnia następnego miesiąca po ogłoszeniu przez Prezesa Głównego Urzędu Statystycznego w formie komunikatu w Dzienniku Urzędowym Rzeczypospolitej Polskiej "Monitor Polski", na podstawie </w:t>
      </w:r>
      <w:r>
        <w:rPr>
          <w:rFonts w:ascii="Times New Roman"/>
          <w:b w:val="false"/>
          <w:i w:val="false"/>
          <w:color w:val="1b1b1b"/>
          <w:sz w:val="22"/>
          <w:lang w:val="pl-Pl"/>
        </w:rPr>
        <w:t>art. 20 pkt 2</w:t>
      </w:r>
      <w:r>
        <w:rPr>
          <w:rFonts w:ascii="Times New Roman"/>
          <w:b w:val="false"/>
          <w:i w:val="false"/>
          <w:color w:val="000000"/>
          <w:sz w:val="22"/>
          <w:lang w:val="pl-Pl"/>
        </w:rPr>
        <w:t xml:space="preserve"> ustawy z dnia 17 grudnia 1998 r. o emeryturach i rentach z Funduszu Ubezpieczeń Społecznych (Dz. U. z 2017 r. poz. 1383, 1386 i 2120 oraz z 2018 r. poz. 138);</w:t>
      </w:r>
    </w:p>
    <w:p>
      <w:pPr>
        <w:spacing w:before="26" w:after="0"/>
        <w:ind w:left="373"/>
        <w:jc w:val="left"/>
        <w:textAlignment w:val="auto"/>
      </w:pPr>
      <w:r>
        <w:rPr>
          <w:rFonts w:ascii="Times New Roman"/>
          <w:b w:val="false"/>
          <w:i w:val="false"/>
          <w:color w:val="000000"/>
          <w:sz w:val="22"/>
          <w:lang w:val="pl-Pl"/>
        </w:rPr>
        <w:t xml:space="preserve">4a) </w:t>
      </w:r>
      <w:r>
        <w:rPr>
          <w:rFonts w:ascii="Times New Roman"/>
          <w:b w:val="false"/>
          <w:i w:val="false"/>
          <w:color w:val="000000"/>
          <w:sz w:val="22"/>
          <w:lang w:val="pl-Pl"/>
        </w:rPr>
        <w:t>kosztach płacy - oznacza to wynagrodzenie brutto oraz finansowane przez pracodawcę obowiązkowe składki na ubezpieczenia emerytalne, rentowe i wypadkowe naliczone od tego wynagrodzenia i obowiązkowe składki na Fundusz Pracy i Fundusz Gwarantowanych Świadczeń Pracowniczych;</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uczestnictwie w życiu społecznym - oznacza to możliwość pełnienia ról społecznych oraz pokonywania barier, w szczególności psychologicznych, architektonicznych, urbanistycznych, transportowych i w komunikowaniu się;</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wskaźniku zatrudnienia osób niepełnosprawnych - oznacza to przeciętny miesięczny udział procentowy osób niepełnosprawnych w zatrudnieniu ogółem, w przeliczeniu na pełny wymiar czasu pracy;</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warunkach pracy chronionej - oznacza to warunki, o których mowa w art. 28 albo art. 29, i uzyskanie statusu zakładu pracy chronionej albo zakładu aktywności zawodowej;</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przystosowanym stanowisku pracy osoby niepełnosprawnej - oznacza to stanowisko pracy, które jest oprzyrządowane i dostosowane odpowiednio do potrzeb wynikających z rodzaju i stopnia niepełnosprawności;</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staroście - oznacza to także prezydenta miasta na prawach powiatu;</w:t>
      </w:r>
    </w:p>
    <w:p>
      <w:pPr>
        <w:spacing w:before="26" w:after="0"/>
        <w:ind w:left="373"/>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niepełnosprawności - oznacza to trwałą lub okresową niezdolność do wypełniania ról społecznych z powodu stałego lub długotrwałego naruszenia sprawności organizmu, w szczególności powodującą niezdolność do pracy;</w:t>
      </w:r>
    </w:p>
    <w:p>
      <w:pPr>
        <w:spacing w:before="26" w:after="0"/>
        <w:ind w:left="373"/>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psie asystującym - oznacza to odpowiednio wyszkolonego i specjalnie oznaczonego psa, w szczególności psa przewodnika osoby niewidomej lub niedowidzącej oraz psa asystenta osoby niepełnosprawnej ruchowo, który ułatwia osobie niepełnosprawnej aktywne uczestnictwo w życiu społecznym.</w:t>
      </w:r>
    </w:p>
    <w:p>
      <w:pPr>
        <w:spacing w:before="80" w:after="0"/>
        <w:ind w:left="0"/>
        <w:jc w:val="left"/>
        <w:textAlignment w:val="auto"/>
      </w:pPr>
      <w:r>
        <w:rPr>
          <w:rFonts w:ascii="Times New Roman"/>
          <w:b/>
          <w:i w:val="false"/>
          <w:color w:val="000000"/>
          <w:sz w:val="22"/>
          <w:lang w:val="pl-Pl"/>
        </w:rPr>
        <w:t xml:space="preserve">Art. 2a. </w:t>
      </w:r>
      <w:r>
        <w:rPr>
          <w:rFonts w:ascii="Times New Roman"/>
          <w:b/>
          <w:i w:val="false"/>
          <w:color w:val="000000"/>
          <w:sz w:val="22"/>
          <w:lang w:val="pl-Pl"/>
        </w:rPr>
        <w:t xml:space="preserve"> [Wliczenie do stanu zatrudnienia osób niepełnosprawnych]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Osobę niepełnosprawną wlicza się do stanu zatrudnienia osób niepełnosprawnych począwszy od dnia przedstawienia pracodawcy orzeczenia potwierdzającego niepełnosprawność.</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przedstawienia pracodawcy kolejnego orzeczenia potwierdzającego niepełnosprawność, osobę niepełnosprawną wlicza się do stanu zatrudnienia osób niepełnosprawnych począwszy od dnia złożenia wniosku o wydanie orzeczenia, jeżeli z orzeczenia wynika, że w tym okresie osoba ta była niepełnosprawna, a wniosek o wydanie orzeczenia został złożony nie później niż w dniu następującym po dniu, w którym upłynął termin ważności poprzedniego orzeczenia potwierdzającego niepełnosprawność, z zastrzeżeniem ust. 3.</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Bez względu na datę złożenia wniosku o wydanie kolejnego orzeczenia potwierdzającego niepełnosprawność, osobę niepełnosprawną wlicza się do stanu zatrudnienia osób niepełnosprawnych również w okresie do 3 miesięcy poprzedzających dzień przedstawienia pracodawcy kolejnego orzeczenia, jeżeli z treści tego orzeczenia wynika, że w tym okresie osoba ta była niepełnosprawna.</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Przepis ust. 1 stosuje się odpowiednio do dokumentów potwierdzających wystąpienie u pracownika schorzeń, o których mowa w art. 26a ust. 1b, lub schorzeń określonych na podstawie art. 21 ust. 7.</w:t>
      </w:r>
    </w:p>
    <w:p>
      <w:pPr>
        <w:spacing w:before="146" w:after="0"/>
        <w:ind w:left="0"/>
        <w:jc w:val="center"/>
        <w:textAlignment w:val="auto"/>
      </w:pPr>
      <w:r>
        <w:rPr>
          <w:rFonts w:ascii="Times New Roman"/>
          <w:b/>
          <w:i w:val="false"/>
          <w:color w:val="000000"/>
          <w:sz w:val="22"/>
          <w:lang w:val="pl-Pl"/>
        </w:rPr>
        <w:t xml:space="preserve">Rozdział 2 </w:t>
      </w:r>
    </w:p>
    <w:p>
      <w:pPr>
        <w:spacing w:before="25" w:after="0"/>
        <w:ind w:left="0"/>
        <w:jc w:val="center"/>
        <w:textAlignment w:val="auto"/>
      </w:pPr>
      <w:r>
        <w:rPr>
          <w:rFonts w:ascii="Times New Roman"/>
          <w:b/>
          <w:i w:val="false"/>
          <w:color w:val="000000"/>
          <w:sz w:val="22"/>
          <w:lang w:val="pl-Pl"/>
        </w:rPr>
        <w:t>Orzekanie o niepełnosprawności</w:t>
      </w:r>
    </w:p>
    <w:p>
      <w:pPr>
        <w:spacing w:before="80" w:after="0"/>
        <w:ind w:left="0"/>
        <w:jc w:val="left"/>
        <w:textAlignment w:val="auto"/>
      </w:pPr>
      <w:r>
        <w:rPr>
          <w:rFonts w:ascii="Times New Roman"/>
          <w:b/>
          <w:i w:val="false"/>
          <w:color w:val="000000"/>
          <w:sz w:val="22"/>
          <w:lang w:val="pl-Pl"/>
        </w:rPr>
        <w:t xml:space="preserve">Art. 3. </w:t>
      </w:r>
      <w:r>
        <w:rPr>
          <w:rFonts w:ascii="Times New Roman"/>
          <w:b/>
          <w:i w:val="false"/>
          <w:color w:val="000000"/>
          <w:sz w:val="22"/>
          <w:lang w:val="pl-Pl"/>
        </w:rPr>
        <w:t xml:space="preserve"> [Rodzaje stopni niepełnosprawności]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Ustala się trzy stopnie niepełnosprawności, które stosuje się do realizacji celów określonych ustawą:</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znaczny;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umiarkowany;</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lekki.</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Orzeczenie ustalające stopień niepełnosprawności stanowi także podstawę do przyznania ulg i uprawnień na podstawie odrębnych przepisów.</w:t>
      </w:r>
    </w:p>
    <w:p>
      <w:pPr>
        <w:spacing w:before="80" w:after="0"/>
        <w:ind w:left="0"/>
        <w:jc w:val="left"/>
        <w:textAlignment w:val="auto"/>
      </w:pPr>
      <w:r>
        <w:rPr>
          <w:rFonts w:ascii="Times New Roman"/>
          <w:b/>
          <w:i w:val="false"/>
          <w:color w:val="000000"/>
          <w:sz w:val="22"/>
          <w:lang w:val="pl-Pl"/>
        </w:rPr>
        <w:t xml:space="preserve">Art. 4. </w:t>
      </w:r>
      <w:r>
        <w:rPr>
          <w:rFonts w:ascii="Times New Roman"/>
          <w:b/>
          <w:i w:val="false"/>
          <w:color w:val="000000"/>
          <w:sz w:val="22"/>
          <w:lang w:val="pl-Pl"/>
        </w:rPr>
        <w:t xml:space="preserve"> [Opis stopni niepełnosprawności]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 znacznego stopnia niepełnosprawności zalicza się osobę z naruszoną sprawnością organizmu, niezdolną do pracy albo zdolną do pracy jedynie w warunkach pracy chronionej i wymagającą, w celu pełnienia ról społecznych, stałej lub długotrwałej opieki i pomocy innych osób w związku z niezdolnością do samodzielnej egzystencji.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 umiarkowanego stopnia niepełnosprawności zalicza się osobę z naruszoną sprawnością organizmu, niezdolną do pracy albo zdolną do pracy jedynie w warunkach pracy chronionej lub wymagającą czasowej albo częściowej pomocy innych osób w celu pełnienia ról społecznych.</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 lekkiego stopnia niepełnosprawności zalicza się osobę o naruszonej sprawności organizmu, powodującej w sposób istotny obniżenie zdolności do wykonywania pracy, w porównaniu do zdolności, jaką wykazuje osoba o podobnych kwalifikacjach zawodowych z pełną sprawnością psychiczną i fizyczną, lub mająca ograniczenia w pełnieniu ról społecznych dające się kompensować przy pomocy wyposażenia w przedmioty ortopedyczne, środki pomocnicze lub środki techniczne.</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Niezdolność do samodzielnej egzystencji oznacza naruszenie sprawności organizmu w stopniu uniemożliwiającym zaspokajanie bez pomocy innych osób podstawowych potrzeb życiowych, za które uważa się przede wszystkim samoobsługę, poruszanie się i komunikację.</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Zaliczenie do znacznego albo umiarkowanego stopnia niepełnosprawności osoby, o której mowa w ust. 1 lub 2, nie wyklucza możliwości zatrudnienia tej osoby u pracodawcy niezapewniającego warunków pracy chronionej, w przypadkach:</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przystosowania przez pracodawcę stanowiska pracy do potrzeb osoby niepełnosprawnej;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zatrudnienia w formie telepracy.</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Kontrolę w zakresie spełniania warunku, o którym mowa w ust. 5 pkt 1, przeprowadza Państwowa Inspekcja Pracy.</w:t>
      </w:r>
    </w:p>
    <w:p>
      <w:pPr>
        <w:spacing w:before="80" w:after="0"/>
        <w:ind w:left="0"/>
        <w:jc w:val="left"/>
        <w:textAlignment w:val="auto"/>
      </w:pPr>
      <w:r>
        <w:rPr>
          <w:rFonts w:ascii="Times New Roman"/>
          <w:b/>
          <w:i w:val="false"/>
          <w:color w:val="000000"/>
          <w:sz w:val="22"/>
          <w:lang w:val="pl-Pl"/>
        </w:rPr>
        <w:t xml:space="preserve">Art. 4a. </w:t>
      </w:r>
      <w:r>
        <w:rPr>
          <w:rFonts w:ascii="Times New Roman"/>
          <w:b/>
          <w:i w:val="false"/>
          <w:color w:val="000000"/>
          <w:sz w:val="22"/>
          <w:lang w:val="pl-Pl"/>
        </w:rPr>
        <w:t xml:space="preserve"> [Niepełnosprawność u osób do 16 roku życia]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Osoby, które nie ukończyły 16 roku życia zaliczane są do osób niepełnosprawnych, jeżeli mają naruszoną sprawność fizyczną lub psychiczną o przewidywanym okresie trwania powyżej 12 miesięcy, z powodu wady wrodzonej, długotrwałej choroby lub uszkodzenia organizmu, powodującą konieczność zapewnienia im całkowitej opieki lub pomocy w zaspokajaniu podstawowych potrzeb życiowych w sposób przewyższający wsparcie potrzebne osobie w danym wieku.</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Minister właściwy do spraw zabezpieczenia społecznego w porozumieniu z ministrem właściwym do spraw zdrowia określi, w drodze rozporządzenia, kryteria oceny niepełnosprawności u osób w wieku do 16 roku życia.</w:t>
      </w:r>
    </w:p>
    <w:p>
      <w:pPr>
        <w:spacing w:before="80" w:after="0"/>
        <w:ind w:left="0"/>
        <w:jc w:val="left"/>
        <w:textAlignment w:val="auto"/>
      </w:pPr>
      <w:r>
        <w:rPr>
          <w:rFonts w:ascii="Times New Roman"/>
          <w:b/>
          <w:i w:val="false"/>
          <w:color w:val="000000"/>
          <w:sz w:val="22"/>
          <w:lang w:val="pl-Pl"/>
        </w:rPr>
        <w:t xml:space="preserve">Art. 5. </w:t>
      </w:r>
      <w:r>
        <w:rPr>
          <w:rFonts w:ascii="Times New Roman"/>
          <w:b/>
          <w:i w:val="false"/>
          <w:color w:val="000000"/>
          <w:sz w:val="22"/>
          <w:lang w:val="pl-Pl"/>
        </w:rPr>
        <w:t xml:space="preserve"> [Orzeczenia lekarza orzecznika ZUS]</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Orzeczenie lekarza orzecznika Zakładu Ubezpieczeń Społecznych 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całkowitej niezdolności do pracy, ustalone na podstawie art. 12 ust. 2, i niezdolności do samodzielnej egzystencji, ustalone na podstawie </w:t>
      </w:r>
      <w:r>
        <w:rPr>
          <w:rFonts w:ascii="Times New Roman"/>
          <w:b w:val="false"/>
          <w:i w:val="false"/>
          <w:color w:val="1b1b1b"/>
          <w:sz w:val="22"/>
          <w:lang w:val="pl-Pl"/>
        </w:rPr>
        <w:t>art. 13 ust. 5</w:t>
      </w:r>
      <w:r>
        <w:rPr>
          <w:rFonts w:ascii="Times New Roman"/>
          <w:b w:val="false"/>
          <w:i w:val="false"/>
          <w:color w:val="000000"/>
          <w:sz w:val="22"/>
          <w:lang w:val="pl-Pl"/>
        </w:rPr>
        <w:t xml:space="preserve"> ustawy z dnia 17 grudnia 1998 r. o emeryturach i rentach z Funduszu Ubezpieczeń Społecznych traktowane jest na równi z orzeczeniem o znacznym stopniu niepełnosprawności;</w:t>
      </w:r>
    </w:p>
    <w:p>
      <w:pPr>
        <w:spacing w:before="26" w:after="0"/>
        <w:ind w:left="373"/>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 xml:space="preserve">niezdolności do samodzielnej egzystencji, ustalone na podstawie </w:t>
      </w:r>
      <w:r>
        <w:rPr>
          <w:rFonts w:ascii="Times New Roman"/>
          <w:b w:val="false"/>
          <w:i w:val="false"/>
          <w:color w:val="1b1b1b"/>
          <w:sz w:val="22"/>
          <w:lang w:val="pl-Pl"/>
        </w:rPr>
        <w:t>art. 13 ust. 5</w:t>
      </w:r>
      <w:r>
        <w:rPr>
          <w:rFonts w:ascii="Times New Roman"/>
          <w:b w:val="false"/>
          <w:i w:val="false"/>
          <w:color w:val="000000"/>
          <w:sz w:val="22"/>
          <w:lang w:val="pl-Pl"/>
        </w:rPr>
        <w:t xml:space="preserve"> ustawy wymienionej w pkt 1, jest traktowane na równi z orzeczeniem o znacznym stopniu niepełnosprawności;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całkowitej niezdolności do pracy, ustalone na podstawie </w:t>
      </w:r>
      <w:r>
        <w:rPr>
          <w:rFonts w:ascii="Times New Roman"/>
          <w:b w:val="false"/>
          <w:i w:val="false"/>
          <w:color w:val="1b1b1b"/>
          <w:sz w:val="22"/>
          <w:lang w:val="pl-Pl"/>
        </w:rPr>
        <w:t>art. 12 ust. 2</w:t>
      </w:r>
      <w:r>
        <w:rPr>
          <w:rFonts w:ascii="Times New Roman"/>
          <w:b w:val="false"/>
          <w:i w:val="false"/>
          <w:color w:val="000000"/>
          <w:sz w:val="22"/>
          <w:lang w:val="pl-Pl"/>
        </w:rPr>
        <w:t xml:space="preserve"> ustawy wymienionej w pkt 1, jest traktowane na równi z orzeczeniem o umiarkowanym stopniu niepełnosprawności;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częściowej niezdolności do pracy, ustalone na podstawie </w:t>
      </w:r>
      <w:r>
        <w:rPr>
          <w:rFonts w:ascii="Times New Roman"/>
          <w:b w:val="false"/>
          <w:i w:val="false"/>
          <w:color w:val="1b1b1b"/>
          <w:sz w:val="22"/>
          <w:lang w:val="pl-Pl"/>
        </w:rPr>
        <w:t>art. 12 ust. 3</w:t>
      </w:r>
      <w:r>
        <w:rPr>
          <w:rFonts w:ascii="Times New Roman"/>
          <w:b w:val="false"/>
          <w:i w:val="false"/>
          <w:color w:val="000000"/>
          <w:sz w:val="22"/>
          <w:lang w:val="pl-Pl"/>
        </w:rPr>
        <w:t xml:space="preserve">, oraz celowości przekwalifikowania, o którym mowa w </w:t>
      </w:r>
      <w:r>
        <w:rPr>
          <w:rFonts w:ascii="Times New Roman"/>
          <w:b w:val="false"/>
          <w:i w:val="false"/>
          <w:color w:val="1b1b1b"/>
          <w:sz w:val="22"/>
          <w:lang w:val="pl-Pl"/>
        </w:rPr>
        <w:t>art. 119 ust. 2</w:t>
      </w:r>
      <w:r>
        <w:rPr>
          <w:rFonts w:ascii="Times New Roman"/>
          <w:b w:val="false"/>
          <w:i w:val="false"/>
          <w:color w:val="000000"/>
          <w:sz w:val="22"/>
          <w:lang w:val="pl-Pl"/>
        </w:rPr>
        <w:t xml:space="preserve"> i </w:t>
      </w:r>
      <w:r>
        <w:rPr>
          <w:rFonts w:ascii="Times New Roman"/>
          <w:b w:val="false"/>
          <w:i w:val="false"/>
          <w:color w:val="1b1b1b"/>
          <w:sz w:val="22"/>
          <w:lang w:val="pl-Pl"/>
        </w:rPr>
        <w:t>3</w:t>
      </w:r>
      <w:r>
        <w:rPr>
          <w:rFonts w:ascii="Times New Roman"/>
          <w:b w:val="false"/>
          <w:i w:val="false"/>
          <w:color w:val="000000"/>
          <w:sz w:val="22"/>
          <w:lang w:val="pl-Pl"/>
        </w:rPr>
        <w:t xml:space="preserve"> ustawy wymienionej w pkt 1, jest traktowane na równi z orzeczeniem o lekkim stopniu niepełnosprawności.</w:t>
      </w:r>
    </w:p>
    <w:p>
      <w:pPr>
        <w:spacing w:before="80" w:after="0"/>
        <w:ind w:left="0"/>
        <w:jc w:val="left"/>
        <w:textAlignment w:val="auto"/>
      </w:pPr>
      <w:r>
        <w:rPr>
          <w:rFonts w:ascii="Times New Roman"/>
          <w:b/>
          <w:i w:val="false"/>
          <w:color w:val="000000"/>
          <w:sz w:val="22"/>
          <w:lang w:val="pl-Pl"/>
        </w:rPr>
        <w:t xml:space="preserve">Art. 5a. </w:t>
      </w:r>
      <w:r>
        <w:rPr>
          <w:rFonts w:ascii="Times New Roman"/>
          <w:b/>
          <w:i w:val="false"/>
          <w:color w:val="000000"/>
          <w:sz w:val="22"/>
          <w:lang w:val="pl-Pl"/>
        </w:rPr>
        <w:t xml:space="preserve"> [Orzeczenia o zaliczeniu do grup inwalidów]</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Osoby posiadające ważne orzeczenia o zaliczeniu do jednej z grup inwalidów, niezdolności do pracy w gospodarstwie rolnym, o których mowa w art. 62, oraz orzeczenia, o których mowa w art. 5, mogą składać do zespołu do spraw orzekania o niepełnosprawności wniosek o ustalenie stopnia niepełnosprawności i wskazań, o których mowa w art. 6b ust. 3, dla celów korzystania z ulg i uprawnień na podstawie odrębnych przepisów.</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postępowaniu w sprawach, o których mowa w ust. 1, zespół do spraw orzekania o niepełnosprawności wydaje orzeczenie, w którym:</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stopień niepełnosprawności określa się na podstawie przedłożonych orzeczeń, o których mowa w ust. 1, zgodnie z przepisami, o których mowa w art. 5 i 62;</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wskazania, o których mowa w art. 6b ust. 3, ustala się stosownie do naruszonej sprawności organizmu i ograniczeń funkcjonalnych uzasadniających korzystanie z ulg i uprawnień na podstawie odrębnych przepisów.</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Zespół do spraw orzekania o niepełnosprawności ma prawo żądać od właściwych organów rentowych udostępnienia kopii orzeczeń, o których mowa w ust. 1, a organy te są obowiązane do ich udostępniania.</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Od orzeczenia, o którym mowa w ust. 2, nie służy odwołanie.</w:t>
      </w:r>
    </w:p>
    <w:p>
      <w:pPr>
        <w:spacing w:before="80" w:after="0"/>
        <w:ind w:left="0"/>
        <w:jc w:val="left"/>
        <w:textAlignment w:val="auto"/>
      </w:pPr>
      <w:r>
        <w:rPr>
          <w:rFonts w:ascii="Times New Roman"/>
          <w:b/>
          <w:i w:val="false"/>
          <w:color w:val="000000"/>
          <w:sz w:val="22"/>
          <w:lang w:val="pl-Pl"/>
        </w:rPr>
        <w:t xml:space="preserve">Art. 6. </w:t>
      </w:r>
      <w:r>
        <w:rPr>
          <w:rFonts w:ascii="Times New Roman"/>
          <w:b/>
          <w:i w:val="false"/>
          <w:color w:val="000000"/>
          <w:sz w:val="22"/>
          <w:lang w:val="pl-Pl"/>
        </w:rPr>
        <w:t xml:space="preserve"> [Zespoły orzekające o niepełnosprawności]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Powołuje się zespoły orzekające o niepełnosprawności: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powiatowe zespoły do spraw orzekania o niepełnosprawności - jako pierwsza instancja;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wojewódzkie zespoły do spraw orzekania o niepełnosprawności - jako druga instancja.</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Wydatki związane z tworzeniem i działalnością zespołów są pokrywane ze środków finansowych budżetu państwa. Wydatki te mogą być również pokrywane ze środków finansowych jednostek samorządu terytorialnego.</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Właściwość miejscową powiatowego i wojewódzkiego zespołu do spraw orzekania o niepełnosprawności ustala się według miejsca stałego pobytu w rozumieniu przepisów o ewidencji ludności.</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Właściwość miejscową zespołu orzekającego o niepełnosprawności ustala się według miejsca pobytu w przypadku osób:</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bezdomnych;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przebywających poza miejscem stałego pobytu ponad dwa miesiące ze względów zdrowotnych lub rodzinnych;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przebywających w zakładach karnych i poprawczych;</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przebywających w domach pomocy społecznej i ośrodkach wsparcia w rozumieniu przepisów o pomocy społecznej.</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przypadku osób, o których mowa w ust. 3 pkt 2-4, zespół orzekający o niepełnosprawności jest obowiązany przesłać zawiadomienie o wydanym orzeczeniu do powiatowego zespołu do spraw orzekania o niepełnosprawności właściwego zgodnie z ust. 2.</w:t>
      </w:r>
    </w:p>
    <w:p>
      <w:pPr>
        <w:spacing w:before="80" w:after="0"/>
        <w:ind w:left="0"/>
        <w:jc w:val="left"/>
        <w:textAlignment w:val="auto"/>
      </w:pPr>
      <w:r>
        <w:rPr>
          <w:rFonts w:ascii="Times New Roman"/>
          <w:b/>
          <w:i w:val="false"/>
          <w:color w:val="000000"/>
          <w:sz w:val="22"/>
          <w:lang w:val="pl-Pl"/>
        </w:rPr>
        <w:t xml:space="preserve">Art. 6a. </w:t>
      </w:r>
      <w:r>
        <w:rPr>
          <w:rFonts w:ascii="Times New Roman"/>
          <w:b/>
          <w:i w:val="false"/>
          <w:color w:val="000000"/>
          <w:sz w:val="22"/>
          <w:lang w:val="pl-Pl"/>
        </w:rPr>
        <w:t xml:space="preserve"> [Powołanie, odwołanie, obszar działania zespołów]</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Starosta w ramach zadań z zakresu administracji rządowej powołuje i odwołuje powiatowy zespół do spraw orzekania o niepełnosprawności, zwany dalej "powiatowym zespołem", po uzyskaniu zgody wojewody oraz przedkłada wojewodzie informacje o realizacji zadań. Zgoda wojewody wymaga uzyskania opinii Pełnomocnika Rządu do Spraw Osób Niepełnosprawnych, zwanego dalej "Pełnomocnikiem".</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Wojewoda po zasięgnięciu opinii starostów oraz uzyskaniu opinii Pełnomocnika ustala obszar działania powiatowego zespołu, który może obejmować swoim zasięgiem więcej niż jeden powiat, oraz siedziby wyjazdowych składów orzekających w powiatach, w których nie powołano powiatowego zespołu.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Powiatowy zespół działający w mieście na prawach powiatu może być nazwany "miejskim zespołem do spraw orzekania o niepełnosprawności". Przepis ust. 1 stosuje się odpowiednio.</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Wojewódzki zespół do spraw orzekania o niepełnosprawności, zwany dalej "wojewódzkim zespołem", powołuje i odwołuje wojewoda, po zasięgnięciu opinii Pełnomocnika.</w:t>
      </w:r>
    </w:p>
    <w:p>
      <w:pPr>
        <w:spacing w:before="80" w:after="0"/>
        <w:ind w:left="0"/>
        <w:jc w:val="left"/>
        <w:textAlignment w:val="auto"/>
      </w:pPr>
      <w:r>
        <w:rPr>
          <w:rFonts w:ascii="Times New Roman"/>
          <w:b/>
          <w:i w:val="false"/>
          <w:color w:val="000000"/>
          <w:sz w:val="22"/>
          <w:lang w:val="pl-Pl"/>
        </w:rPr>
        <w:t xml:space="preserve">Art. 6b. </w:t>
      </w:r>
      <w:r>
        <w:rPr>
          <w:rFonts w:ascii="Times New Roman"/>
          <w:b/>
          <w:i w:val="false"/>
          <w:color w:val="000000"/>
          <w:sz w:val="22"/>
          <w:lang w:val="pl-Pl"/>
        </w:rPr>
        <w:t xml:space="preserve"> [Orzeczenia powiatowego zespołu]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Powiatowe zespoły orzekają na wniosek osoby zainteresowanej lub jej przedstawiciela ustawowego albo, za ich zgodą, na wniosek ośrodka pomocy społecznej.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Ośrodki pomocy społecznej mogą uczestniczyć na prawach strony w sprawach, w których orzekają powiatowe zespoły.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vertAlign w:val="superscript"/>
          <w:lang w:val="pl-Pl"/>
        </w:rPr>
        <w:t>2</w:t>
      </w:r>
      <w:r>
        <w:rPr>
          <w:rFonts w:ascii="Times New Roman"/>
          <w:b w:val="false"/>
          <w:i w:val="false"/>
          <w:color w:val="000000"/>
          <w:sz w:val="22"/>
          <w:lang w:val="pl-Pl"/>
        </w:rPr>
        <w:t xml:space="preserve"> </w:t>
      </w:r>
      <w:r>
        <w:rPr>
          <w:rFonts w:ascii="Times New Roman"/>
          <w:b w:val="false"/>
          <w:i w:val="false"/>
          <w:color w:val="000000"/>
          <w:sz w:val="22"/>
          <w:lang w:val="pl-Pl"/>
        </w:rPr>
        <w:t xml:space="preserve"> W orzeczeniu powiatowego zespołu ustala się niepełnosprawność albo stopień niepełnosprawności, nie więcej niż trzy symbole przyczyn niepełnosprawności oraz wskazania dotyczące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odpowiedniego zatrudnienia uwzględniającego psychofizyczne możliwości danej osoby;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szkolenia, w tym specjalistycznego;</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zatrudnienia w zakładzie aktywności zawodowej;</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uczestnictwa w terapii zajęciowej;</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konieczności zaopatrzenia w przedmioty ortopedyczne, środki pomocnicze oraz pomoce techniczne, ułatwiające funkcjonowanie danej osoby;</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korzystania z systemu środowiskowego wsparcia w samodzielnej egzystencji, przez co rozumie się korzystanie z usług socjalnych, opiekuńczych, terapeutycznych i rehabilitacyjnych świadczonych przez sieć instytucji pomocy społecznej, organizacje pozarządowe oraz inne placówki;</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konieczności stałej lub długotrwałej opieki lub pomocy innej osoby w związku ze znacznie ograniczoną możliwością samodzielnej egzystencji;</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konieczności stałego współudziału na co dzień opiekuna dziecka w procesie jego leczenia, rehabilitacji i edukacji;</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 xml:space="preserve">spełniania przez osobę niepełnosprawną przesłanek określonych w </w:t>
      </w:r>
      <w:r>
        <w:rPr>
          <w:rFonts w:ascii="Times New Roman"/>
          <w:b w:val="false"/>
          <w:i w:val="false"/>
          <w:color w:val="1b1b1b"/>
          <w:sz w:val="22"/>
          <w:lang w:val="pl-Pl"/>
        </w:rPr>
        <w:t>art. 8 ust. 3a pkt 1</w:t>
      </w:r>
      <w:r>
        <w:rPr>
          <w:rFonts w:ascii="Times New Roman"/>
          <w:b w:val="false"/>
          <w:i w:val="false"/>
          <w:color w:val="000000"/>
          <w:sz w:val="22"/>
          <w:lang w:val="pl-Pl"/>
        </w:rPr>
        <w:t xml:space="preserve"> i 2 ustawy z dnia 20 czerwca 1997 r. - Prawo o ruchu drogowym (Dz. U. z 2017 r. poz. 1260 i 1926 oraz z 2018 r. poz. 79, 106 i 138), przy czym w przypadku osób niepełnosprawnych zaliczonych do umiarkowanego stopnia niepełnosprawności spełnienie tych przesłanek może zostać stwierdzone jedynie w przypadku ustalenia przyczyny niepełnosprawności oznaczonej symbolem 04-O (choroby narządu wzroku), 05-R (upośledzenie narządu ruchu) lub 10-N (choroba neurologiczna).</w:t>
      </w:r>
    </w:p>
    <w:p>
      <w:pPr>
        <w:spacing w:before="80" w:after="0"/>
        <w:ind w:left="0"/>
        <w:jc w:val="left"/>
        <w:textAlignment w:val="auto"/>
      </w:pPr>
      <w:r>
        <w:rPr>
          <w:rFonts w:ascii="Times New Roman"/>
          <w:b/>
          <w:i w:val="false"/>
          <w:color w:val="000000"/>
          <w:sz w:val="22"/>
          <w:lang w:val="pl-Pl"/>
        </w:rPr>
        <w:t>Art. 6b</w:t>
      </w:r>
      <w:r>
        <w:rPr>
          <w:rFonts w:ascii="Times New Roman"/>
          <w:b/>
          <w:i w:val="false"/>
          <w:color w:val="000000"/>
          <w:sz w:val="22"/>
          <w:vertAlign w:val="superscript"/>
          <w:lang w:val="pl-Pl"/>
        </w:rPr>
        <w:t>1</w:t>
      </w:r>
      <w:r>
        <w:rPr>
          <w:rFonts w:ascii="Times New Roman"/>
          <w:b/>
          <w:i w:val="false"/>
          <w:color w:val="000000"/>
          <w:sz w:val="22"/>
          <w:lang w:val="pl-Pl"/>
        </w:rPr>
        <w:t xml:space="preserve">. </w:t>
      </w:r>
      <w:r>
        <w:rPr>
          <w:rFonts w:ascii="Times New Roman"/>
          <w:b/>
          <w:i w:val="false"/>
          <w:color w:val="000000"/>
          <w:sz w:val="22"/>
          <w:lang w:val="pl-Pl"/>
        </w:rPr>
        <w:t xml:space="preserve"> [Badania specjalistyczne w wojewódzkim zespole]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wojewódzkim zespole przeprowadza się specjalistyczne badania, w tym psychologiczne, zwane dalej "badaniami", osób ubiegających się o wydanie orzeczenia o niepełnosprawności lub stopniu niepełnosprawności, na podstawie skierowań wystawionych odpowiednio przez lekarzy lub psychologów członków zespołów orzekających o niepełnosprawności.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Skierowanie powinno zawierać:</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nazwę zespołu, którego lekarz lub psycholog kieruje na badania;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rodzaj badania, na które jest kierowana osoba zainteresowana;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imię (imiona) i nazwisko osoby skierowanej;</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numer ewidencyjny Powszechnego Elektronicznego Systemu Ewidencji Ludności (PESEL) lub cechy dokumentu potwierdzającego obywatelstwo, w przypadku cudzoziemca nieposiadającego numeru PESEL;</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datę urodzenia;</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miejsce zameldowania albo pobytu;</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datę wystawienia skierowania;</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uzasadnienie do skierowania na badania;</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podpis i pieczątkę osoby kierującej i akceptującej przeprowadzenie badania.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Wyniki badań są sporządzane w formie pisemnej na formularzu badania, do którego dołącza się wydruki komputerowe lub wykonane zdjęcia.</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Formularz badania zawiera następujące dane: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numer ewidencyjny badania;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nazwę wojewódzkiego zespołu, w którym badanie zostało wykonane;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imię (imiona) i nazwisko osoby badanej;</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numer ewidencyjny Powszechnego Elektronicznego Systemu Ewidencji Ludności (PESEL) lub cechy dokumentu potwierdzającego obywatelstwo, w przypadku cudzoziemca nieposiadającego numeru PESEL;</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datę urodzenia;</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miejsce zameldowania albo pobytu;</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datę wykonania badania;</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wynik badania wraz z opisem;</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informację o załącznikach;</w:t>
      </w:r>
    </w:p>
    <w:p>
      <w:pPr>
        <w:spacing w:before="26" w:after="0"/>
        <w:ind w:left="373"/>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podpis i pieczątkę odpowiednio lekarza lub psychologa wykonującego badanie.</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Wyniki badań są przesyłane do zespołu, którego lekarz lub psycholog wystawił skierowanie, w terminie 3 dni roboczych od daty ich sporządzenia; drugi egzemplarz wyników jest przechowywany w wojewódzkim zespole łącznie z wydrukiem komputerowym lub wykonanymi zdjęciami.</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Na wniosek osoby badanej lub jej przedstawiciela ustawowego wydaje się kopie wyników badań.</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 wojewódzkim zespole prowadzi się rejestr badań w formie dokumentu pisemnego i elektronicznego. Rejestr ten powinien zawierać:</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numer ewidencyjny badania;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dane osobowe osoby badanej, o których mowa w ust. 2 pkt 3-6;</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datę skierowania na badania;</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datę wykonania badania;</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imię i nazwisko lekarza lub psychologa wykonującego badania.</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Wojewódzki zespół jest uprawniony do przetwarzania danych osobowych osób badanych w celu wydania orzeczenia o niepełnosprawności lub stopniu niepełnosprawności.</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Dane zgromadzone w formularzu badania lub załączniki udostępnia się, o ile są one niezbędne, do realizacji zadań określonych w ustawie: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Pełnomocnikowi;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powiatowym zespołom.</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Formularz badania i załączniki ulegają zniszczeniu po upływie 50 lat od dnia sporządzenia formularza badania.</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Wojewódzki zespół jest obowiązany prowadzić odpowiednią ewidencję oraz zapewnić przechowywanie i ochronę przed uszkodzeniem, zniszczeniem bądź utratą dokumentacji dotyczącej badań.</w:t>
      </w:r>
    </w:p>
    <w:p>
      <w:pPr>
        <w:spacing w:before="26" w:after="0"/>
        <w:ind w:left="0"/>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Minister właściwy do spraw zabezpieczenia społecznego w porozumieniu z ministrem właściwym do spraw zdrowia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zakres wykonywanych badań oraz tryb i warunki kierowania na te badania,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warunki organizacyjne wykonywania badań,</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warunki techniczne pomieszczeń, w których są wykonywane badania</w:t>
      </w:r>
    </w:p>
    <w:p>
      <w:pPr>
        <w:spacing w:before="25" w:after="0"/>
        <w:ind w:left="0"/>
        <w:jc w:val="both"/>
        <w:textAlignment w:val="auto"/>
      </w:pPr>
      <w:r>
        <w:rPr>
          <w:rFonts w:ascii="Times New Roman"/>
          <w:b w:val="false"/>
          <w:i w:val="false"/>
          <w:color w:val="000000"/>
          <w:sz w:val="22"/>
          <w:lang w:val="pl-Pl"/>
        </w:rPr>
        <w:t>- mając na względzie zapewnienie sprawnego przebiegu procesu orzekania o niepełnosprawności lub stopniu niepełnosprawności.</w:t>
      </w:r>
    </w:p>
    <w:p>
      <w:pPr>
        <w:spacing w:before="80" w:after="0"/>
        <w:ind w:left="0"/>
        <w:jc w:val="left"/>
        <w:textAlignment w:val="auto"/>
      </w:pPr>
      <w:r>
        <w:rPr>
          <w:rFonts w:ascii="Times New Roman"/>
          <w:b/>
          <w:i w:val="false"/>
          <w:color w:val="000000"/>
          <w:sz w:val="22"/>
          <w:lang w:val="pl-Pl"/>
        </w:rPr>
        <w:t>Art. 6b</w:t>
      </w:r>
      <w:r>
        <w:rPr>
          <w:rFonts w:ascii="Times New Roman"/>
          <w:b/>
          <w:i w:val="false"/>
          <w:color w:val="000000"/>
          <w:sz w:val="22"/>
          <w:vertAlign w:val="superscript"/>
          <w:lang w:val="pl-Pl"/>
        </w:rPr>
        <w:t>2</w:t>
      </w:r>
      <w:r>
        <w:rPr>
          <w:rFonts w:ascii="Times New Roman"/>
          <w:b/>
          <w:i w:val="false"/>
          <w:color w:val="000000"/>
          <w:sz w:val="22"/>
          <w:lang w:val="pl-Pl"/>
        </w:rPr>
        <w:t xml:space="preserve">. </w:t>
      </w:r>
      <w:r>
        <w:rPr>
          <w:rFonts w:ascii="Times New Roman"/>
          <w:b/>
          <w:i w:val="false"/>
          <w:color w:val="000000"/>
          <w:sz w:val="22"/>
          <w:lang w:val="pl-Pl"/>
        </w:rPr>
        <w:t xml:space="preserve"> [Dane wykorzystywane przez powiatowe zespoły i wojewódzkie zespoły]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Powiatowe zespoły i wojewódzkie zespoły mogą korzystać, z wymiany informacji drogą elektroniczną, z danych dotyczących osób, które złożyły wniosek o ustalenie niepełnosprawności albo o ustalenie stopnia niepełnosprawności, 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posiadaniu orzeczenia o niezdolności do pracy, jego rodzaju i okresie, na jaki zostało wydane - gromadzonych przez Zakład Ubezpieczeń Społecznych, Kasę Rolniczego Ubezpieczenia Społecznego, organy emerytalne, o których mowa w </w:t>
      </w:r>
      <w:r>
        <w:rPr>
          <w:rFonts w:ascii="Times New Roman"/>
          <w:b w:val="false"/>
          <w:i w:val="false"/>
          <w:color w:val="1b1b1b"/>
          <w:sz w:val="22"/>
          <w:lang w:val="pl-Pl"/>
        </w:rPr>
        <w:t>art. 32 ust. 1 pkt 1</w:t>
      </w:r>
      <w:r>
        <w:rPr>
          <w:rFonts w:ascii="Times New Roman"/>
          <w:b w:val="false"/>
          <w:i w:val="false"/>
          <w:color w:val="000000"/>
          <w:sz w:val="22"/>
          <w:lang w:val="pl-Pl"/>
        </w:rPr>
        <w:t xml:space="preserve"> i </w:t>
      </w:r>
      <w:r>
        <w:rPr>
          <w:rFonts w:ascii="Times New Roman"/>
          <w:b w:val="false"/>
          <w:i w:val="false"/>
          <w:color w:val="1b1b1b"/>
          <w:sz w:val="22"/>
          <w:lang w:val="pl-Pl"/>
        </w:rPr>
        <w:t>2</w:t>
      </w:r>
      <w:r>
        <w:rPr>
          <w:rFonts w:ascii="Times New Roman"/>
          <w:b w:val="false"/>
          <w:i w:val="false"/>
          <w:color w:val="000000"/>
          <w:sz w:val="22"/>
          <w:lang w:val="pl-Pl"/>
        </w:rPr>
        <w:t xml:space="preserve"> ustawy z dnia 18 lutego 1994 r. o zaopatrzeniu emerytalnym funkcjonariuszy Policji, Agencji Bezpieczeństwa Wewnętrznego, Agencji Wywiadu, Służby Kontrwywiadu Wojskowego, Służby Wywiadu Wojskowego, Centralnego Biura Antykorupcyjnego, Straży Granicznej, Służby Ochrony Państwa, Państwowej Straży Pożarnej i Służby Więziennej oraz ich rodzin (Dz. U. z 2018 r. poz. 132 i 138), oraz wojskowe organy emerytalne;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prawie do świadczenia rehabilitacyjnego i okresie jego pobierania - gromadzonych przez Zakład Ubezpieczeń Społecznych;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kwalifikacjach i umiejętnościach zawodowych oraz doświadczeniu zawodowym - gromadzonych przez publiczne służby zatrudnienia;</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posiadaniu statusu bezrobotnego zarejestrowanego w powiatowym urzędzie pracy i pobieraniu świadczeń z tytułu bezrobocia oraz korzystaniu z instrumentów aktywizujących zawodowo na rynku pracy - gromadzonych przez publiczne służby zatrudnienia.</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awarii systemów teleinformatycznych służących do wymiany informacji drogą elektroniczną, o której mowa w ust. 1, powiatowe zespoły i wojewódzkie zespoły mogą korzystać z danych określonych w ust. 1 w drodze pisemnej wymiany informacji. Podmioty wymienione w ust. 1 przekazują te dane niezwłocznie, nie później jednak niż w terminie 7 dni od dnia otrzymania wniosku powiatowego zespołu lub wojewódzkiego zespołu.</w:t>
      </w:r>
    </w:p>
    <w:p>
      <w:pPr>
        <w:spacing w:before="80" w:after="0"/>
        <w:ind w:left="0"/>
        <w:jc w:val="left"/>
        <w:textAlignment w:val="auto"/>
      </w:pPr>
      <w:r>
        <w:rPr>
          <w:rFonts w:ascii="Times New Roman"/>
          <w:b/>
          <w:i w:val="false"/>
          <w:color w:val="000000"/>
          <w:sz w:val="22"/>
          <w:lang w:val="pl-Pl"/>
        </w:rPr>
        <w:t xml:space="preserve">Art. 6c. </w:t>
      </w:r>
      <w:r>
        <w:rPr>
          <w:rFonts w:ascii="Times New Roman"/>
          <w:b/>
          <w:i w:val="false"/>
          <w:color w:val="000000"/>
          <w:sz w:val="22"/>
          <w:lang w:val="pl-Pl"/>
        </w:rPr>
        <w:t xml:space="preserve"> [Nadzór. Odwołania od orzeczeń]</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Pełnomocnik sprawuje nadzór nad orzekaniem o niepełnosprawności i o stopniu niepełnosprawności.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Nadzór, o którym mowa w ust. 1, polega na: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kontroli orzeczeń co do ich zgodności z zebranymi dokumentami lub z przepisami dotyczącymi orzekania o niepełnosprawności lub o stopniu niepełnosprawności;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kontroli prawidłowości i jednolitości stosowania przepisów, standardów i procedur postępowania w sprawach dotyczących orzekania o niepełnosprawności i o stopniu niepełnosprawności;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szkoleniu członków wojewódzkich zespołów;</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udzielaniu wyjaśnień w zakresie stosowania przepisów regulujących postępowanie w sprawach dotyczących orzekania o niepełnosprawności lub o stopniu niepełnosprawności.</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Jeżeli w ramach nadzoru Pełnomocnik stwierdzi, że istnieje uzasadniona wątpliwość co do zgodności orzeczenia ze stanem faktycznym lub że orzeczenie zostało wydane w sposób sprzeczny z przepisami dotyczącymi orzekania o niepełnosprawności lub o stopniu niepełnosprawności, może zwrócić się do właściwego organu 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stwierdzenie nieważności orzeczenia;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wznowienie postępowania.</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Pełnomocnik, w wyniku stwierdzonych w ramach nadzoru nieprawidłowości, może: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zobowiązać organ, który powołał zespół do spraw orzekania o niepełnosprawności, do odwołania członków zespołu odpowiedzialnych za stwierdzone nieprawidłowości;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wyrazić zgodę na cofnięcie przez wojewodę zgody na powołanie powiatowego zespołu;</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zobowiązać organ, który powołał zespół do spraw orzekania o niepełnosprawności, do odwołania zespołu;</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czasowo zawiesić działalność powiatowego zespołu określając warunki ponownego podjęcia działalności zespołu i wyznaczając zespół, który będzie realizował zadania zespołu zawieszonego.</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Nadzór, o którym mowa w ust. 2 pkt 1 i 2, w imieniu Pełnomocnika realizują upoważnione przez niego osoby, posiadające wiedzę niezbędną do przeprowadzania kontroli. Pisemne upoważnienie jest wydawane na czas określony, nie dłuższy niż 2 lata.</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Wojewoda pełni bezpośredni nadzór nad powiatowymi zespołami. Przepisy ust. 2, 3, 4 pkt 1 i 4 i ust. 5 stosuje się odpowiednio.</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Wojewoda przedstawia Pełnomocnikowi informacje o realizacji zadań:</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powiatowych zespołów, sporządzane na podstawie informacji otrzymanych od starostów;</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wojewódzkiego zespołu.</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Od orzeczenia wojewódzkiego zespołu przysługuje odwołanie do sądu pracy i ubezpieczeń społecznych.</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szczegółowe zasady wydawania orzeczeń, o których mowa w art. 5a, orzekania o niepełnosprawności i o stopniu niepełnosprawności, uwzględniając tryb postępowania przy orzekaniu oraz skład i sposób powoływania i odwoływania członków zespołów orzekających, a także sposób działania tych zespołów;</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rodzaj i zakres wymaganych kwalifikacji członków zespołów orzekających oraz tryb postępowania przy wydawaniu zaświadczeń uprawniających do orzekania o niepełnosprawności lub o stopniu niepełnosprawności, uwzględniając konieczność zapewnienia specjalistycznych kwalifikacji, odpowiednich do zakresu orzekania;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warunki organizacyjne i techniczne, jakie powinny spełniać pomieszczenia zespołów orzekających, mając na względzie zapewnienie dostępu do tych pomieszczeń osobom niepełnosprawnym;</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tryb przeprowadzania szkoleń i minima programowe szkoleń dla specjalistów powoływanych do zespołów orzekających oraz sposób wyboru ośrodków szkoleniowych upoważnionych do prowadzenia szkoleń, kierując się koniecznością zapewnienia właściwego poziomu kształcenia, w tym odpowiedniego poziomu wiedzy specjalistycznej;</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standardy w zakresie kwalifikowania oraz postępowania dotyczącego orzekania o niepełnosprawności i o stopniu niepełnosprawności, uwzględniając schorzenia naruszające sprawność organizmu i przewidywany okres trwania naruszenia tej sprawności, powodujące zaliczenie do odpowiedniego stopnia niepełnosprawności, a także oznaczenie symboli przyczyn niepełnosprawności;</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wzory i terminy składania informacji, o których mowa w ust. 7 i art. 6a ust. 1, uwzględniając elementy informacji o realizacji zadań, przyjętych wnioskach, wydanych orzeczeniach i wydanych legitymacjach, wydatkach oraz elementy zestawień zbiorczych;</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wzory legitymacji dokumentujących niepełnosprawność lub stopień niepełnosprawności oraz organy uprawnione do ich wystawiania, mając na względzie zachowanie jednolitości dokumentu potwierdzającego podstawę do korzystania z ulg i uprawnień.</w:t>
      </w:r>
    </w:p>
    <w:p>
      <w:pPr>
        <w:spacing w:before="80" w:after="0"/>
        <w:ind w:left="0"/>
        <w:jc w:val="left"/>
        <w:textAlignment w:val="auto"/>
      </w:pPr>
      <w:r>
        <w:rPr>
          <w:rFonts w:ascii="Times New Roman"/>
          <w:b/>
          <w:i w:val="false"/>
          <w:color w:val="000000"/>
          <w:sz w:val="22"/>
          <w:lang w:val="pl-Pl"/>
        </w:rPr>
        <w:t xml:space="preserve">Art. 6ca. </w:t>
      </w:r>
      <w:r>
        <w:rPr>
          <w:rFonts w:ascii="Times New Roman"/>
          <w:b/>
          <w:i w:val="false"/>
          <w:color w:val="000000"/>
          <w:sz w:val="22"/>
          <w:lang w:val="pl-Pl"/>
        </w:rPr>
        <w:t xml:space="preserve"> [Legitymacja dokumentująca niepełnosprawność]</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Legitymację dokumentującą niepełnosprawność albo legitymację dokumentującą stopień niepełnosprawności wystawia się na wniosek osoby niepełnosprawnej. Osoba niepełnosprawna, składając wniosek, przedstawia do wglądu prawomocne orzeczenie o niepełnosprawności, o stopniu niepełnosprawności lub o wskazaniach do ulg i uprawnień.</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Legitymacje wystawia się na okres ważności orzeczenia o niepełnosprawności, o stopniu niepełnosprawności lub o wskazaniach do ulg i uprawnień.</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Okres ważności legitymacji nie może być dłuższy niż:</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5 lat - w przypadku legitymacji dokumentujących niepełnosprawność;</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10 lat - w przypadku legitymacji dokumentujących stopień niepełnosprawności wystawionych osobom, które nie ukończyły 60. roku życia.</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przypadku gdy osoba niepełnosprawna posiada więcej niż jedno orzeczenie o niepełnosprawności, o stopniu niepełnosprawności lub o wskazaniach do ulg i uprawnień, legitymację dokumentującą niepełnosprawność albo legitymację dokumentującą stopień niepełnosprawności wystawia się na podstawie ostatniego orzeczenia.</w:t>
      </w:r>
    </w:p>
    <w:p>
      <w:pPr>
        <w:spacing w:before="80" w:after="0"/>
        <w:ind w:left="0"/>
        <w:jc w:val="left"/>
        <w:textAlignment w:val="auto"/>
      </w:pPr>
      <w:r>
        <w:rPr>
          <w:rFonts w:ascii="Times New Roman"/>
          <w:b/>
          <w:i w:val="false"/>
          <w:color w:val="000000"/>
          <w:sz w:val="22"/>
          <w:lang w:val="pl-Pl"/>
        </w:rPr>
        <w:t xml:space="preserve">Art. 6cb. </w:t>
      </w:r>
      <w:r>
        <w:rPr>
          <w:rFonts w:ascii="Times New Roman"/>
          <w:b/>
          <w:i w:val="false"/>
          <w:color w:val="000000"/>
          <w:sz w:val="22"/>
          <w:lang w:val="pl-Pl"/>
        </w:rPr>
        <w:t xml:space="preserve"> [Obowiązki ministra w zakresie wydawania legitymacji]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Minister właściwy do spraw zabezpieczenia społecznego zapewnia: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produkcję blankietów legitymacji dokumentujących niepełnosprawność lub stopień niepełnosprawności oraz ich personalizację i dystrybucję;</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system teleinformatyczny, za pomocą którego są wykonywane czynności związane z wystawianiem legitymacji dokumentujących niepełnosprawność lub stopień niepełnosprawności.</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Minister właściwy do spraw zabezpieczenia społecznego dokonuje wyboru podmiotu odpowiedzialnego za wykonanie zadania, o którym mowa w ust. 1 pkt 1.</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Minister właściwy do spraw zabezpieczenia społecznego może dokonać wyboru podmiotu odpowiedzialnego za wykonanie zadania, o którym mowa w ust. 1 pkt 2.</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Wydatki związane z wystawianiem legitymacji, produkcją blankietów, ich personalizacją i dystrybucją pokrywane są z budżetu państwa.</w:t>
      </w:r>
    </w:p>
    <w:p>
      <w:pPr>
        <w:spacing w:before="80" w:after="0"/>
        <w:ind w:left="0"/>
        <w:jc w:val="left"/>
        <w:textAlignment w:val="auto"/>
      </w:pPr>
      <w:r>
        <w:rPr>
          <w:rFonts w:ascii="Times New Roman"/>
          <w:b/>
          <w:i w:val="false"/>
          <w:color w:val="000000"/>
          <w:sz w:val="22"/>
          <w:lang w:val="pl-Pl"/>
        </w:rPr>
        <w:t xml:space="preserve">Art. 6cc. </w:t>
      </w:r>
      <w:r>
        <w:rPr>
          <w:rFonts w:ascii="Times New Roman"/>
          <w:b/>
          <w:i w:val="false"/>
          <w:color w:val="000000"/>
          <w:sz w:val="22"/>
          <w:lang w:val="pl-Pl"/>
        </w:rPr>
        <w:t xml:space="preserve"> [Opłata za wydanie duplikatu legitymacji]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Za wydanie duplikatu legitymacji, o której mowa w art. 6ca, pobiera się opłatę w wysokości 15 zł. Opłata stanowi dochód budżetu państwa.</w:t>
      </w:r>
    </w:p>
    <w:p>
      <w:pPr>
        <w:spacing w:before="80" w:after="0"/>
        <w:ind w:left="0"/>
        <w:jc w:val="left"/>
        <w:textAlignment w:val="auto"/>
      </w:pPr>
      <w:r>
        <w:rPr>
          <w:rFonts w:ascii="Times New Roman"/>
          <w:b/>
          <w:i w:val="false"/>
          <w:color w:val="000000"/>
          <w:sz w:val="22"/>
          <w:lang w:val="pl-Pl"/>
        </w:rPr>
        <w:t xml:space="preserve">Art. 6d. </w:t>
      </w:r>
      <w:r>
        <w:rPr>
          <w:rFonts w:ascii="Times New Roman"/>
          <w:b/>
          <w:i w:val="false"/>
          <w:color w:val="000000"/>
          <w:sz w:val="22"/>
          <w:lang w:val="pl-Pl"/>
        </w:rPr>
        <w:t xml:space="preserve"> [Elektroniczny Krajowy System Monitoringu Orzekania o Niepełnosprawności]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Tworzy się Elektroniczny Krajowy System Monitoringu Orzekania o Niepełnosprawności, zwany dalej "systemem", w którym przetwarza się dane w celu usprawnienia i podniesienia jakości orzekania o niepełnosprawności oraz realizacji zadań przez zespoły orzekające o niepełnosprawności.</w:t>
      </w: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Nadzór nad funkcjonowaniem systemu sprawuje Pełnomocnik.</w:t>
      </w:r>
    </w:p>
    <w:p>
      <w:pPr>
        <w:spacing w:before="26" w:after="0"/>
        <w:ind w:left="0"/>
        <w:jc w:val="left"/>
        <w:textAlignment w:val="auto"/>
      </w:pPr>
      <w:r>
        <w:rPr>
          <w:rFonts w:ascii="Times New Roman"/>
          <w:b w:val="false"/>
          <w:i w:val="false"/>
          <w:color w:val="000000"/>
          <w:sz w:val="22"/>
          <w:lang w:val="pl-Pl"/>
        </w:rPr>
        <w:t xml:space="preserve">1b. </w:t>
      </w:r>
      <w:r>
        <w:rPr>
          <w:rFonts w:ascii="Times New Roman"/>
          <w:b w:val="false"/>
          <w:i w:val="false"/>
          <w:color w:val="000000"/>
          <w:sz w:val="22"/>
          <w:lang w:val="pl-Pl"/>
        </w:rPr>
        <w:t>W ramach nadzoru Pełnomocnik:</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określa zakres i kierunki rozwoju systemu;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proponuje w porozumieniu z ministrem właściwym do spraw zabezpieczenia społecznego wysokość środków niezbędnych do utrzymania i rozwoju systemu;</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informuje ministra właściwego do spraw zabezpieczenia społecznego o zagrożeniach dla prawidłowego funkcjonowania systemu.</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Powiatowe zespoły i wojewódzkie zespoły oraz Pełnomocnik są administratorami danych w prowadzonych przez siebie bazach danych systemu.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systemie gromadzi się dane dotyczące: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osób, które złożyły wniosek o ustalenie niepełnosprawności albo o ustalenie stopnia niepełnosprawności;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przedstawicieli ustawowych osób, o których mowa w pkt 1;</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członków powiatowych zespołów i wojewódzkich zespołów;</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innych osób zatrudnionych w zespołach;</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kosztów funkcjonowania powiatowych zespołów i wojewódzkich zespołów, w tym:</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amortyzacji,</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zużycia materiałów i energii,</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wynagrodzeń, obowiązkowych składek i innych świadczeń, w tym na pracowników wykonujących badania lub wykonujących czynności pomocnicze przy wykonywaniu tych badań,</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umów cywilnoprawnych, w tym umów zawartych z osobami wykonującymi badania lub wykonujących czynności pomocnicze przy wykonywaniu tych badań,</w:t>
      </w:r>
    </w:p>
    <w:p>
      <w:pPr>
        <w:spacing w:after="0"/>
        <w:ind w:left="746"/>
        <w:jc w:val="left"/>
        <w:textAlignment w:val="auto"/>
      </w:pPr>
      <w:r>
        <w:rPr>
          <w:rFonts w:ascii="Times New Roman"/>
          <w:b w:val="false"/>
          <w:i w:val="false"/>
          <w:color w:val="000000"/>
          <w:sz w:val="22"/>
          <w:lang w:val="pl-Pl"/>
        </w:rPr>
        <w:t xml:space="preserve">e) </w:t>
      </w:r>
      <w:r>
        <w:rPr>
          <w:rFonts w:ascii="Times New Roman"/>
          <w:b w:val="false"/>
          <w:i w:val="false"/>
          <w:color w:val="000000"/>
          <w:sz w:val="22"/>
          <w:lang w:val="pl-Pl"/>
        </w:rPr>
        <w:t>pozostałych rodzajowo wyżej niewymienionych, w podziale na finansowane z budżetu państwa i budżetu jednostki samorządu terytorialnego.</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Dane gromadzone w systemie obejmują:</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dane dotyczące osób, o których mowa w ust. 3 pkt 1-3:</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imię (imiona) i nazwisko,</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datę i miejsce urodzenia,</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płeć,</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adres miejsca zameldowania,</w:t>
      </w:r>
    </w:p>
    <w:p>
      <w:pPr>
        <w:spacing w:after="0"/>
        <w:ind w:left="746"/>
        <w:jc w:val="left"/>
        <w:textAlignment w:val="auto"/>
      </w:pPr>
      <w:r>
        <w:rPr>
          <w:rFonts w:ascii="Times New Roman"/>
          <w:b w:val="false"/>
          <w:i w:val="false"/>
          <w:color w:val="000000"/>
          <w:sz w:val="22"/>
          <w:lang w:val="pl-Pl"/>
        </w:rPr>
        <w:t xml:space="preserve">e) </w:t>
      </w:r>
      <w:r>
        <w:rPr>
          <w:rFonts w:ascii="Times New Roman"/>
          <w:b w:val="false"/>
          <w:i w:val="false"/>
          <w:color w:val="000000"/>
          <w:sz w:val="22"/>
          <w:lang w:val="pl-Pl"/>
        </w:rPr>
        <w:t>adres miejsca pobytu,</w:t>
      </w:r>
    </w:p>
    <w:p>
      <w:pPr>
        <w:spacing w:after="0"/>
        <w:ind w:left="746"/>
        <w:jc w:val="left"/>
        <w:textAlignment w:val="auto"/>
      </w:pPr>
      <w:r>
        <w:rPr>
          <w:rFonts w:ascii="Times New Roman"/>
          <w:b w:val="false"/>
          <w:i w:val="false"/>
          <w:color w:val="000000"/>
          <w:sz w:val="22"/>
          <w:lang w:val="pl-Pl"/>
        </w:rPr>
        <w:t xml:space="preserve">f) </w:t>
      </w:r>
      <w:r>
        <w:rPr>
          <w:rFonts w:ascii="Times New Roman"/>
          <w:b w:val="false"/>
          <w:i w:val="false"/>
          <w:color w:val="000000"/>
          <w:sz w:val="22"/>
          <w:lang w:val="pl-Pl"/>
        </w:rPr>
        <w:t>cechy dokumentów tożsamości: rodzaj dokumentu, numer i serię dokumentu,</w:t>
      </w:r>
    </w:p>
    <w:p>
      <w:pPr>
        <w:spacing w:after="0"/>
        <w:ind w:left="746"/>
        <w:jc w:val="left"/>
        <w:textAlignment w:val="auto"/>
      </w:pPr>
      <w:r>
        <w:rPr>
          <w:rFonts w:ascii="Times New Roman"/>
          <w:b w:val="false"/>
          <w:i w:val="false"/>
          <w:color w:val="000000"/>
          <w:sz w:val="22"/>
          <w:lang w:val="pl-Pl"/>
        </w:rPr>
        <w:t xml:space="preserve">g) </w:t>
      </w:r>
      <w:r>
        <w:rPr>
          <w:rFonts w:ascii="Times New Roman"/>
          <w:b w:val="false"/>
          <w:i w:val="false"/>
          <w:color w:val="000000"/>
          <w:sz w:val="22"/>
          <w:lang w:val="pl-Pl"/>
        </w:rPr>
        <w:t>numer ewidencyjny Powszechnego Elektronicznego Systemu Ewidencji Ludności (PESEL) lub obywatelstwo w przypadku cudzoziemca nieposiadającego numeru PESEL;</w:t>
      </w:r>
    </w:p>
    <w:p>
      <w:pPr>
        <w:spacing w:before="26" w:after="0"/>
        <w:ind w:left="373"/>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dane określone w art. 6b</w:t>
      </w:r>
      <w:r>
        <w:rPr>
          <w:rFonts w:ascii="Times New Roman"/>
          <w:b w:val="false"/>
          <w:i w:val="false"/>
          <w:color w:val="000000"/>
          <w:sz w:val="22"/>
          <w:vertAlign w:val="superscript"/>
          <w:lang w:val="pl-Pl"/>
        </w:rPr>
        <w:t>2</w:t>
      </w:r>
      <w:r>
        <w:rPr>
          <w:rFonts w:ascii="Times New Roman"/>
          <w:b w:val="false"/>
          <w:i w:val="false"/>
          <w:color w:val="000000"/>
          <w:sz w:val="22"/>
          <w:lang w:val="pl-Pl"/>
        </w:rPr>
        <w:t xml:space="preserve"> ust. 1, dotyczące osób, o których mowa w ust. 3 pkt 1;</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dane dotyczące wykształcenia i zawodu osób, o których mowa w ust. 3 pkt 1 i 3;</w:t>
      </w:r>
    </w:p>
    <w:p>
      <w:pPr>
        <w:spacing w:before="26" w:after="0"/>
        <w:ind w:left="373"/>
        <w:jc w:val="left"/>
        <w:textAlignment w:val="auto"/>
      </w:pPr>
      <w:r>
        <w:rPr>
          <w:rFonts w:ascii="Times New Roman"/>
          <w:b w:val="false"/>
          <w:i w:val="false"/>
          <w:color w:val="000000"/>
          <w:sz w:val="22"/>
          <w:lang w:val="pl-Pl"/>
        </w:rPr>
        <w:t xml:space="preserve">2a) </w:t>
      </w:r>
      <w:r>
        <w:rPr>
          <w:rFonts w:ascii="Times New Roman"/>
          <w:b w:val="false"/>
          <w:i w:val="false"/>
          <w:color w:val="000000"/>
          <w:sz w:val="22"/>
          <w:vertAlign w:val="superscript"/>
          <w:lang w:val="pl-Pl"/>
        </w:rPr>
        <w:t>3</w:t>
      </w:r>
      <w:r>
        <w:rPr>
          <w:rFonts w:ascii="Times New Roman"/>
          <w:b w:val="false"/>
          <w:i w:val="false"/>
          <w:color w:val="000000"/>
          <w:sz w:val="22"/>
          <w:lang w:val="pl-Pl"/>
        </w:rPr>
        <w:t xml:space="preserve"> </w:t>
      </w:r>
      <w:r>
        <w:rPr>
          <w:rFonts w:ascii="Times New Roman"/>
          <w:b w:val="false"/>
          <w:i w:val="false"/>
          <w:color w:val="000000"/>
          <w:sz w:val="22"/>
          <w:lang w:val="pl-Pl"/>
        </w:rPr>
        <w:t xml:space="preserve"> dane dotyczące stanu zdrowia, kształcenia, sytuacji społecznej, zawodowej i rodzinnej osób, o których mowa w ust. 3 pkt 1;</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dane dotyczące formy zatrudnienia i wymiaru czasu pracy osób, o których mowa w ust. 3 pkt 3;</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dane dotyczące liczby osób, o których mowa w ust. 3 pkt 4, formy ich zatrudnienia i wymiaru czasu pracy;</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dane dotyczące daty i rodzaju wydanego orzeczenia, symbolu przyczyny niepełnosprawności, daty powstania niepełnosprawności lub stopnia niepełnosprawności, okresu, na jaki zostało wydane orzeczenie, wskazań, o których mowa w art. 6b ust. 3;</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 xml:space="preserve">dane dotyczące karty parkingowej w rozumieniu </w:t>
      </w:r>
      <w:r>
        <w:rPr>
          <w:rFonts w:ascii="Times New Roman"/>
          <w:b w:val="false"/>
          <w:i w:val="false"/>
          <w:color w:val="1b1b1b"/>
          <w:sz w:val="22"/>
          <w:lang w:val="pl-Pl"/>
        </w:rPr>
        <w:t>ustawy</w:t>
      </w:r>
      <w:r>
        <w:rPr>
          <w:rFonts w:ascii="Times New Roman"/>
          <w:b w:val="false"/>
          <w:i w:val="false"/>
          <w:color w:val="000000"/>
          <w:sz w:val="22"/>
          <w:lang w:val="pl-Pl"/>
        </w:rPr>
        <w:t xml:space="preserve"> z dnia 20 czerwca 1997 r. - Prawo o ruchu drogowym:</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numer karty,</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datę wydania karty,</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datę ważności karty,</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oznaczenie powiatowego zespołu, którego przewodniczący wydał kartę,</w:t>
      </w:r>
    </w:p>
    <w:p>
      <w:pPr>
        <w:spacing w:after="0"/>
        <w:ind w:left="746"/>
        <w:jc w:val="left"/>
        <w:textAlignment w:val="auto"/>
      </w:pPr>
      <w:r>
        <w:rPr>
          <w:rFonts w:ascii="Times New Roman"/>
          <w:b w:val="false"/>
          <w:i w:val="false"/>
          <w:color w:val="000000"/>
          <w:sz w:val="22"/>
          <w:lang w:val="pl-Pl"/>
        </w:rPr>
        <w:t xml:space="preserve">e) </w:t>
      </w:r>
      <w:r>
        <w:rPr>
          <w:rFonts w:ascii="Times New Roman"/>
          <w:b w:val="false"/>
          <w:i w:val="false"/>
          <w:color w:val="000000"/>
          <w:sz w:val="22"/>
          <w:lang w:val="pl-Pl"/>
        </w:rPr>
        <w:t>imię i nazwisko, numer Powszechnego Elektronicznego Systemu Ewidencji Ludności (PESEL) osoby niepełnosprawnej, której wydano kartę,</w:t>
      </w:r>
    </w:p>
    <w:p>
      <w:pPr>
        <w:spacing w:after="0"/>
        <w:ind w:left="746"/>
        <w:jc w:val="left"/>
        <w:textAlignment w:val="auto"/>
      </w:pPr>
      <w:r>
        <w:rPr>
          <w:rFonts w:ascii="Times New Roman"/>
          <w:b w:val="false"/>
          <w:i w:val="false"/>
          <w:color w:val="000000"/>
          <w:sz w:val="22"/>
          <w:lang w:val="pl-Pl"/>
        </w:rPr>
        <w:t xml:space="preserve">f) </w:t>
      </w:r>
      <w:r>
        <w:rPr>
          <w:rFonts w:ascii="Times New Roman"/>
          <w:b w:val="false"/>
          <w:i w:val="false"/>
          <w:color w:val="000000"/>
          <w:sz w:val="22"/>
          <w:lang w:val="pl-Pl"/>
        </w:rPr>
        <w:t xml:space="preserve">nazwę i adres placówki, numer identyfikacyjny w krajowym rejestrze urzędowym podmiotów gospodarki narodowej (REGON), markę, model oraz numer rejestracyjny pojazdu, którego kierujący jest uprawniony do posługiwania się kartą - w przypadku kart wydanych placówce, o której mowa w </w:t>
      </w:r>
      <w:r>
        <w:rPr>
          <w:rFonts w:ascii="Times New Roman"/>
          <w:b w:val="false"/>
          <w:i w:val="false"/>
          <w:color w:val="1b1b1b"/>
          <w:sz w:val="22"/>
          <w:lang w:val="pl-Pl"/>
        </w:rPr>
        <w:t>art. 8 ust. 3a pkt 3</w:t>
      </w:r>
      <w:r>
        <w:rPr>
          <w:rFonts w:ascii="Times New Roman"/>
          <w:b w:val="false"/>
          <w:i w:val="false"/>
          <w:color w:val="000000"/>
          <w:sz w:val="22"/>
          <w:lang w:val="pl-Pl"/>
        </w:rPr>
        <w:t xml:space="preserve"> ustawy z dnia 20 czerwca 1997 r. - Prawo o ruchu drogowym,</w:t>
      </w:r>
    </w:p>
    <w:p>
      <w:pPr>
        <w:spacing w:after="0"/>
        <w:ind w:left="746"/>
        <w:jc w:val="left"/>
        <w:textAlignment w:val="auto"/>
      </w:pPr>
      <w:r>
        <w:rPr>
          <w:rFonts w:ascii="Times New Roman"/>
          <w:b w:val="false"/>
          <w:i w:val="false"/>
          <w:color w:val="000000"/>
          <w:sz w:val="22"/>
          <w:lang w:val="pl-Pl"/>
        </w:rPr>
        <w:t xml:space="preserve">g) </w:t>
      </w:r>
      <w:r>
        <w:rPr>
          <w:rFonts w:ascii="Times New Roman"/>
          <w:b w:val="false"/>
          <w:i w:val="false"/>
          <w:color w:val="000000"/>
          <w:sz w:val="22"/>
          <w:lang w:val="pl-Pl"/>
        </w:rPr>
        <w:t>datę i przyczynę utraty ważności karty;</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dane dotyczące legitymacji dokumentujących niepełnosprawność lub stopień niepełnosprawności.</w:t>
      </w:r>
    </w:p>
    <w:p>
      <w:pPr>
        <w:spacing w:before="26" w:after="0"/>
        <w:ind w:left="0"/>
        <w:jc w:val="left"/>
        <w:textAlignment w:val="auto"/>
      </w:pPr>
      <w:r>
        <w:rPr>
          <w:rFonts w:ascii="Times New Roman"/>
          <w:b w:val="false"/>
          <w:i w:val="false"/>
          <w:color w:val="000000"/>
          <w:sz w:val="22"/>
          <w:lang w:val="pl-Pl"/>
        </w:rPr>
        <w:t xml:space="preserve">4a. </w:t>
      </w:r>
      <w:r>
        <w:rPr>
          <w:rFonts w:ascii="Times New Roman"/>
          <w:b w:val="false"/>
          <w:i w:val="false"/>
          <w:color w:val="000000"/>
          <w:sz w:val="22"/>
          <w:lang w:val="pl-Pl"/>
        </w:rPr>
        <w:t>Dane gromadzone w systemie udostępnia się, jeżeli stanowią one kryterium przyznania świadczenia albo ustawowe kryterium wydania dokumentu, następującym podmiotom:</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organowi właściwemu, o którym mowa w </w:t>
      </w:r>
      <w:r>
        <w:rPr>
          <w:rFonts w:ascii="Times New Roman"/>
          <w:b w:val="false"/>
          <w:i w:val="false"/>
          <w:color w:val="1b1b1b"/>
          <w:sz w:val="22"/>
          <w:lang w:val="pl-Pl"/>
        </w:rPr>
        <w:t>art. 3 pkt 11</w:t>
      </w:r>
      <w:r>
        <w:rPr>
          <w:rFonts w:ascii="Times New Roman"/>
          <w:b w:val="false"/>
          <w:i w:val="false"/>
          <w:color w:val="000000"/>
          <w:sz w:val="22"/>
          <w:lang w:val="pl-Pl"/>
        </w:rPr>
        <w:t xml:space="preserve"> ustawy z dnia 28 listopada 2003 r. o świadczeniach rodzinnych (Dz. U. z 2017 r. poz. 1952 oraz z 2018 r. poz. 107 i 138), i wojewodzie - w celu weryfikacji danych dotyczących osób ubiegających się o świadczenia rodzinne, osób pobierających świadczenia rodzinne oraz członków ich rodzin;</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organowi właściwemu dłużnika, o którym mowa w </w:t>
      </w:r>
      <w:r>
        <w:rPr>
          <w:rFonts w:ascii="Times New Roman"/>
          <w:b w:val="false"/>
          <w:i w:val="false"/>
          <w:color w:val="1b1b1b"/>
          <w:sz w:val="22"/>
          <w:lang w:val="pl-Pl"/>
        </w:rPr>
        <w:t>art. 2 pkt 9</w:t>
      </w:r>
      <w:r>
        <w:rPr>
          <w:rFonts w:ascii="Times New Roman"/>
          <w:b w:val="false"/>
          <w:i w:val="false"/>
          <w:color w:val="000000"/>
          <w:sz w:val="22"/>
          <w:lang w:val="pl-Pl"/>
        </w:rPr>
        <w:t xml:space="preserve"> ustawy z dnia 7 września 2007 r. o pomocy osobom uprawnionym do alimentów (Dz. U. z 2017 r. poz. 489, 624, 777, 952 i 1428), i organowi właściwemu wierzyciela, o którym mowa w </w:t>
      </w:r>
      <w:r>
        <w:rPr>
          <w:rFonts w:ascii="Times New Roman"/>
          <w:b w:val="false"/>
          <w:i w:val="false"/>
          <w:color w:val="1b1b1b"/>
          <w:sz w:val="22"/>
          <w:lang w:val="pl-Pl"/>
        </w:rPr>
        <w:t>art. 2 pkt 10</w:t>
      </w:r>
      <w:r>
        <w:rPr>
          <w:rFonts w:ascii="Times New Roman"/>
          <w:b w:val="false"/>
          <w:i w:val="false"/>
          <w:color w:val="000000"/>
          <w:sz w:val="22"/>
          <w:lang w:val="pl-Pl"/>
        </w:rPr>
        <w:t xml:space="preserve"> tej ustawy - w celu weryfikacji danych dotyczących osób ubiegających się o świadczenia z funduszu alimentacyjnego, osób pobierających świadczenia z funduszu alimentacyjnego i członków ich rodzin oraz danych dotyczących dłużników alimentacyjnych;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jednostkom organizacyjnym pomocy społecznej prowadzonym przez jednostki samorządu terytorialnego - w celu weryfikacji danych dotyczących osób ubiegających się o świadczenia z pomocy społecznej, osób pobierających świadczenia z pomocy społecznej oraz członków ich rodzin;</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 xml:space="preserve">organowi właściwemu, o którym mowa w </w:t>
      </w:r>
      <w:r>
        <w:rPr>
          <w:rFonts w:ascii="Times New Roman"/>
          <w:b w:val="false"/>
          <w:i w:val="false"/>
          <w:color w:val="1b1b1b"/>
          <w:sz w:val="22"/>
          <w:lang w:val="pl-Pl"/>
        </w:rPr>
        <w:t>art. 2 pkt 11</w:t>
      </w:r>
      <w:r>
        <w:rPr>
          <w:rFonts w:ascii="Times New Roman"/>
          <w:b w:val="false"/>
          <w:i w:val="false"/>
          <w:color w:val="000000"/>
          <w:sz w:val="22"/>
          <w:lang w:val="pl-Pl"/>
        </w:rPr>
        <w:t xml:space="preserve"> ustawy z dnia 11 lutego 2016 r. o pomocy państwa w wychowywaniu dzieci (Dz. U. z 2017 r. poz. 1851 oraz z 2018 r. poz. 107 i 138), i wojewodzie - w celu weryfikacji danych dotyczących osób ubiegających się o świadczenie wychowawcze, osób pobierających świadczenie wychowawcze oraz członków ich rodzin;</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 xml:space="preserve">wójtowi, burmistrzowi lub prezydentowi miasta - w celu weryfikacji danych dotyczących osób ubiegających się o przyznanie Karty Dużej Rodziny, o której mowa w </w:t>
      </w:r>
      <w:r>
        <w:rPr>
          <w:rFonts w:ascii="Times New Roman"/>
          <w:b w:val="false"/>
          <w:i w:val="false"/>
          <w:color w:val="1b1b1b"/>
          <w:sz w:val="22"/>
          <w:lang w:val="pl-Pl"/>
        </w:rPr>
        <w:t>art. 2 ust. 1</w:t>
      </w:r>
      <w:r>
        <w:rPr>
          <w:rFonts w:ascii="Times New Roman"/>
          <w:b w:val="false"/>
          <w:i w:val="false"/>
          <w:color w:val="000000"/>
          <w:sz w:val="22"/>
          <w:lang w:val="pl-Pl"/>
        </w:rPr>
        <w:t xml:space="preserve"> ustawy z dnia 5 grudnia 2014 r. o Karcie Dużej Rodziny (Dz. U. z 2017 r. poz. 1832 i 2161), w zakresie posiadania orzeczenia o znacznym lub umiarkowanym stopniu niepełnosprawności i informacji o okresie, na jaki zostało wydane.</w:t>
      </w:r>
    </w:p>
    <w:p>
      <w:pPr>
        <w:spacing w:before="26" w:after="0"/>
        <w:ind w:left="0"/>
        <w:jc w:val="left"/>
        <w:textAlignment w:val="auto"/>
      </w:pPr>
      <w:r>
        <w:rPr>
          <w:rFonts w:ascii="Times New Roman"/>
          <w:b w:val="false"/>
          <w:i w:val="false"/>
          <w:color w:val="000000"/>
          <w:sz w:val="22"/>
          <w:lang w:val="pl-Pl"/>
        </w:rPr>
        <w:t xml:space="preserve">4b. </w:t>
      </w:r>
      <w:r>
        <w:rPr>
          <w:rFonts w:ascii="Times New Roman"/>
          <w:b w:val="false"/>
          <w:i w:val="false"/>
          <w:color w:val="000000"/>
          <w:sz w:val="22"/>
          <w:vertAlign w:val="superscript"/>
          <w:lang w:val="pl-Pl"/>
        </w:rPr>
        <w:t>4</w:t>
      </w:r>
      <w:r>
        <w:rPr>
          <w:rFonts w:ascii="Times New Roman"/>
          <w:b w:val="false"/>
          <w:i w:val="false"/>
          <w:color w:val="000000"/>
          <w:sz w:val="22"/>
          <w:lang w:val="pl-Pl"/>
        </w:rPr>
        <w:t xml:space="preserve"> </w:t>
      </w:r>
      <w:r>
        <w:rPr>
          <w:rFonts w:ascii="Times New Roman"/>
          <w:b w:val="false"/>
          <w:i w:val="false"/>
          <w:color w:val="000000"/>
          <w:sz w:val="22"/>
          <w:lang w:val="pl-Pl"/>
        </w:rPr>
        <w:t xml:space="preserve"> Podmioty wymienione w ust. 4a przetwarzają dane udostępnione z systemu w celu, w którym te dane zostały im udostępnione, na zasadach określonych w przepisach o ochronie danych osobowych.</w:t>
      </w:r>
    </w:p>
    <w:p>
      <w:pPr>
        <w:spacing w:before="26" w:after="0"/>
        <w:ind w:left="0"/>
        <w:jc w:val="left"/>
        <w:textAlignment w:val="auto"/>
      </w:pPr>
      <w:r>
        <w:rPr>
          <w:rFonts w:ascii="Times New Roman"/>
          <w:b w:val="false"/>
          <w:i w:val="false"/>
          <w:color w:val="000000"/>
          <w:sz w:val="22"/>
          <w:lang w:val="pl-Pl"/>
        </w:rPr>
        <w:t xml:space="preserve">4c. </w:t>
      </w:r>
      <w:r>
        <w:rPr>
          <w:rFonts w:ascii="Times New Roman"/>
          <w:b w:val="false"/>
          <w:i w:val="false"/>
          <w:color w:val="000000"/>
          <w:sz w:val="22"/>
          <w:lang w:val="pl-Pl"/>
        </w:rPr>
        <w:t>Podmioty wymienione w ust. 4a przechowują dane udostępnione z systemu przez okres 10 lat od dnia ich udostępnienia, z wyjątkiem danych dotyczących osób, którym świadczenie nie zostało przyznane, które przechowuje się przez okres 1 roku od dnia, w którym decyzja w sprawie świadczenia stała się ostateczna, lub od dnia pozostawienia wniosku o ustalenie prawa do świadczenia bez rozpatrzenia.</w:t>
      </w:r>
    </w:p>
    <w:p>
      <w:pPr>
        <w:spacing w:before="26" w:after="0"/>
        <w:ind w:left="0"/>
        <w:jc w:val="left"/>
        <w:textAlignment w:val="auto"/>
      </w:pPr>
      <w:r>
        <w:rPr>
          <w:rFonts w:ascii="Times New Roman"/>
          <w:b w:val="false"/>
          <w:i w:val="false"/>
          <w:color w:val="000000"/>
          <w:sz w:val="22"/>
          <w:lang w:val="pl-Pl"/>
        </w:rPr>
        <w:t xml:space="preserve">4d. </w:t>
      </w:r>
      <w:r>
        <w:rPr>
          <w:rFonts w:ascii="Times New Roman"/>
          <w:b w:val="false"/>
          <w:i w:val="false"/>
          <w:color w:val="000000"/>
          <w:sz w:val="22"/>
          <w:lang w:val="pl-Pl"/>
        </w:rPr>
        <w:t>Dane udostępnione z systemu usuwa się niezwłocznie po upływie okresów przechowywania, o których mowa w ust. 4c.</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Minister właściwy do spraw zabezpieczenia społecznego zapewnia warunki organizacyjno-techniczne funkcjonowania systemu.</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Minister właściwy do spraw zabezpieczenia społecznego określi, w drodze rozporządzenia, szczegółowe warunki, w tym techniczne i organizacyjne, sposób oraz tryb gromadzenia i usuwania danych z systemu, mając na względzie ich zabezpieczenie przed dostępem lub wykorzystywaniem przez osoby nieuprawnione.</w:t>
      </w:r>
    </w:p>
    <w:p>
      <w:pPr>
        <w:spacing w:before="146" w:after="0"/>
        <w:ind w:left="0"/>
        <w:jc w:val="center"/>
        <w:textAlignment w:val="auto"/>
      </w:pPr>
      <w:r>
        <w:rPr>
          <w:rFonts w:ascii="Times New Roman"/>
          <w:b/>
          <w:i w:val="false"/>
          <w:color w:val="000000"/>
          <w:sz w:val="22"/>
          <w:lang w:val="pl-Pl"/>
        </w:rPr>
        <w:t xml:space="preserve">Rozdział 3 </w:t>
      </w:r>
    </w:p>
    <w:p>
      <w:pPr>
        <w:spacing w:before="25" w:after="0"/>
        <w:ind w:left="0"/>
        <w:jc w:val="center"/>
        <w:textAlignment w:val="auto"/>
      </w:pPr>
      <w:r>
        <w:rPr>
          <w:rFonts w:ascii="Times New Roman"/>
          <w:b/>
          <w:i w:val="false"/>
          <w:color w:val="000000"/>
          <w:sz w:val="22"/>
          <w:lang w:val="pl-Pl"/>
        </w:rPr>
        <w:t>Rehabilitacja osób niepełnosprawnych</w:t>
      </w:r>
    </w:p>
    <w:p>
      <w:pPr>
        <w:spacing w:before="80" w:after="0"/>
        <w:ind w:left="0"/>
        <w:jc w:val="left"/>
        <w:textAlignment w:val="auto"/>
      </w:pPr>
      <w:r>
        <w:rPr>
          <w:rFonts w:ascii="Times New Roman"/>
          <w:b/>
          <w:i w:val="false"/>
          <w:color w:val="000000"/>
          <w:sz w:val="22"/>
          <w:lang w:val="pl-Pl"/>
        </w:rPr>
        <w:t xml:space="preserve">Art. 7. </w:t>
      </w:r>
      <w:r>
        <w:rPr>
          <w:rFonts w:ascii="Times New Roman"/>
          <w:b/>
          <w:i w:val="false"/>
          <w:color w:val="000000"/>
          <w:sz w:val="22"/>
          <w:lang w:val="pl-Pl"/>
        </w:rPr>
        <w:t xml:space="preserve"> [Definicja rehabilitacji]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Rehabilitacja osób niepełnosprawnych oznacza zespół działań, w szczególności organizacyjnych, leczniczych, psychologicznych, technicznych, szkoleniowych, edukacyjnych i społecznych, zmierzających do osiągnięcia, przy aktywnym uczestnictwie tych osób, możliwie najwyższego poziomu ich funkcjonowania, jakości życia i integracji społecznej.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Rehabilitacja lecznicza osób niepełnosprawnych odbywa się na podstawie odrębnych przepisów.</w:t>
      </w:r>
    </w:p>
    <w:p>
      <w:pPr>
        <w:spacing w:before="80" w:after="0"/>
        <w:ind w:left="0"/>
        <w:jc w:val="left"/>
        <w:textAlignment w:val="auto"/>
      </w:pPr>
      <w:r>
        <w:rPr>
          <w:rFonts w:ascii="Times New Roman"/>
          <w:b/>
          <w:i w:val="false"/>
          <w:color w:val="000000"/>
          <w:sz w:val="22"/>
          <w:lang w:val="pl-Pl"/>
        </w:rPr>
        <w:t xml:space="preserve">Art. 8. </w:t>
      </w:r>
      <w:r>
        <w:rPr>
          <w:rFonts w:ascii="Times New Roman"/>
          <w:b/>
          <w:i w:val="false"/>
          <w:color w:val="000000"/>
          <w:sz w:val="22"/>
          <w:lang w:val="pl-Pl"/>
        </w:rPr>
        <w:t xml:space="preserve"> [Rehabilitacja zawodowa]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Rehabilitacja zawodowa ma na celu ułatwienie osobie niepełnosprawnej uzyskania i utrzymania odpowiedniego zatrudnienia i awansu zawodowego przez umożliwienie jej korzystania z poradnictwa zawodowego, szkolenia zawodowego i pośrednictwa pracy.</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 realizacji celu, o którym mowa w ust. 1, niezbędne jest:</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dokonanie oceny zdolności do pracy, w szczególności przez:</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przeprowadzenie badań lekarskich i psychologicznych umożliwiających określenie sprawności fizycznej, psychicznej i umysłowej do wykonywania zawodu oraz ocenę możliwości zwiększenia tej sprawności,</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ustalenie kwalifikacji, doświadczeń zawodowych, uzdolnień i zainteresowań;</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prowadzenie poradnictwa zawodowego uwzględniającego ocenę zdolności do pracy oraz umożliwiającego wybór odpowiedniego zawodu i szkolenia;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przygotowanie zawodowe z uwzględnieniem perspektyw zatrudnienia;</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dobór odpowiedniego miejsca pracy i jego wyposażenie;</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określenie środków technicznych umożliwiających lub ułatwiających wykonywanie pracy, a w razie potrzeby - przedmiotów ortopedycznych, środków pomocniczych, sprzętu rehabilitacyjnego itp.</w:t>
      </w:r>
    </w:p>
    <w:p>
      <w:pPr>
        <w:spacing w:before="80" w:after="0"/>
        <w:ind w:left="0"/>
        <w:jc w:val="left"/>
        <w:textAlignment w:val="auto"/>
      </w:pPr>
      <w:r>
        <w:rPr>
          <w:rFonts w:ascii="Times New Roman"/>
          <w:b/>
          <w:i w:val="false"/>
          <w:color w:val="000000"/>
          <w:sz w:val="22"/>
          <w:lang w:val="pl-Pl"/>
        </w:rPr>
        <w:t xml:space="preserve">Art. 9. </w:t>
      </w:r>
      <w:r>
        <w:rPr>
          <w:rFonts w:ascii="Times New Roman"/>
          <w:b/>
          <w:i w:val="false"/>
          <w:color w:val="000000"/>
          <w:sz w:val="22"/>
          <w:lang w:val="pl-Pl"/>
        </w:rPr>
        <w:t xml:space="preserve"> [Rehabilitacja społeczna]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Rehabilitacja społeczna ma na celu umożliwianie osobom niepełnosprawnym uczestnictwa w życiu społecznym.</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Rehabilitacja społeczna realizowana jest przede wszystkim przez:</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wyrabianie zaradności osobistej i pobudzanie aktywności społecznej osoby niepełnosprawnej;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wyrabianie umiejętności samodzielnego wypełniania ról społecznych;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likwidację barier, w szczególności architektonicznych, urbanistycznych, transportowych, technicznych, w komunikowaniu się i dostępie do informacji;</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kształtowanie w społeczeństwie właściwych postaw i zachowań sprzyjających integracji z osobami niepełnosprawnymi.</w:t>
      </w:r>
    </w:p>
    <w:p>
      <w:pPr>
        <w:spacing w:before="80" w:after="0"/>
        <w:ind w:left="0"/>
        <w:jc w:val="left"/>
        <w:textAlignment w:val="auto"/>
      </w:pPr>
      <w:r>
        <w:rPr>
          <w:rFonts w:ascii="Times New Roman"/>
          <w:b/>
          <w:i w:val="false"/>
          <w:color w:val="000000"/>
          <w:sz w:val="22"/>
          <w:lang w:val="pl-Pl"/>
        </w:rPr>
        <w:t xml:space="preserve">Art. 10. </w:t>
      </w:r>
      <w:r>
        <w:rPr>
          <w:rFonts w:ascii="Times New Roman"/>
          <w:b/>
          <w:i w:val="false"/>
          <w:color w:val="000000"/>
          <w:sz w:val="22"/>
          <w:lang w:val="pl-Pl"/>
        </w:rPr>
        <w:t xml:space="preserve"> [Formy aktywności wspomagającej proces rehabilitacji]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Do podstawowych form aktywności wspomagającej proces rehabilitacji zawodowej i społecznej osób niepełnosprawnych zalicza się uczestnictwo tych osób w:</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warsztatach terapii zajęciowej, zwanych dalej "warsztatami";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turnusach rehabilitacyjnych, zwanych dalej "turnusami";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vertAlign w:val="superscript"/>
          <w:lang w:val="pl-Pl"/>
        </w:rPr>
        <w:t>5</w:t>
      </w:r>
      <w:r>
        <w:rPr>
          <w:rFonts w:ascii="Times New Roman"/>
          <w:b w:val="false"/>
          <w:i w:val="false"/>
          <w:color w:val="000000"/>
          <w:sz w:val="22"/>
          <w:lang w:val="pl-Pl"/>
        </w:rPr>
        <w:t xml:space="preserve"> </w:t>
      </w:r>
      <w:r>
        <w:rPr>
          <w:rFonts w:ascii="Times New Roman"/>
          <w:b w:val="false"/>
          <w:i w:val="false"/>
          <w:color w:val="000000"/>
          <w:sz w:val="22"/>
          <w:lang w:val="pl-Pl"/>
        </w:rPr>
        <w:t xml:space="preserve"> zajęciach klubowych.</w:t>
      </w:r>
    </w:p>
    <w:p>
      <w:pPr>
        <w:spacing w:before="80" w:after="0"/>
        <w:ind w:left="0"/>
        <w:jc w:val="left"/>
        <w:textAlignment w:val="auto"/>
      </w:pPr>
      <w:r>
        <w:rPr>
          <w:rFonts w:ascii="Times New Roman"/>
          <w:b/>
          <w:i w:val="false"/>
          <w:color w:val="000000"/>
          <w:sz w:val="22"/>
          <w:lang w:val="pl-Pl"/>
        </w:rPr>
        <w:t xml:space="preserve">Art. 10a. </w:t>
      </w:r>
      <w:r>
        <w:rPr>
          <w:rFonts w:ascii="Times New Roman"/>
          <w:b/>
          <w:i w:val="false"/>
          <w:color w:val="000000"/>
          <w:sz w:val="22"/>
          <w:lang w:val="pl-Pl"/>
        </w:rPr>
        <w:t xml:space="preserve"> [Warsztaty terapii zajęciowej]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Warsztat oznacza wyodrębnioną organizacyjnie i finansowo placówkę stwarzającą osobom niepełnosprawnym niezdolnym do podjęcia pracy możliwość rehabilitacji społecznej i zawodowej w zakresie pozyskania lub przywracania umiejętności niezbędnych do podjęcia zatrudnienia.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Realizacja przez warsztat celu, o którym mowa w ust. 1, odbywa się przy zastosowaniu technik terapii zajęciowej, zmierzających do rozwijania: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umiejętności wykonywania czynności życia codziennego oraz zaradności osobistej;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psychofizycznych sprawności oraz podstawowych i specjalistycznych umiejętności zawodowych, umożliwiających uczestnictwo w szkoleniu zawodowym albo podjęcie pracy.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Terapię realizuje się na podstawie indywidualnego programu rehabilitacji, w którym określa się:</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formy rehabilitacji;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zakres rehabilitacji;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metody i zakres nauki umiejętności, o których mowa w ust. 2;</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formy współpracy z rodziną lub opiekunami;</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planowane efekty rehabilitacji;</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osoby odpowiedzialne za realizację programu rehabilitacji.</w:t>
      </w:r>
    </w:p>
    <w:p>
      <w:pPr>
        <w:spacing w:before="26" w:after="0"/>
        <w:ind w:left="0"/>
        <w:jc w:val="left"/>
        <w:textAlignment w:val="auto"/>
      </w:pPr>
      <w:r>
        <w:rPr>
          <w:rFonts w:ascii="Times New Roman"/>
          <w:b w:val="false"/>
          <w:i w:val="false"/>
          <w:color w:val="000000"/>
          <w:sz w:val="22"/>
          <w:lang w:val="pl-Pl"/>
        </w:rPr>
        <w:t xml:space="preserve">3a. </w:t>
      </w:r>
      <w:r>
        <w:rPr>
          <w:rFonts w:ascii="Times New Roman"/>
          <w:b w:val="false"/>
          <w:i w:val="false"/>
          <w:color w:val="000000"/>
          <w:sz w:val="22"/>
          <w:vertAlign w:val="superscript"/>
          <w:lang w:val="pl-Pl"/>
        </w:rPr>
        <w:t>6</w:t>
      </w:r>
      <w:r>
        <w:rPr>
          <w:rFonts w:ascii="Times New Roman"/>
          <w:b w:val="false"/>
          <w:i w:val="false"/>
          <w:color w:val="000000"/>
          <w:sz w:val="22"/>
          <w:lang w:val="pl-Pl"/>
        </w:rPr>
        <w:t xml:space="preserve"> </w:t>
      </w:r>
      <w:r>
        <w:rPr>
          <w:rFonts w:ascii="Times New Roman"/>
          <w:b w:val="false"/>
          <w:i w:val="false"/>
          <w:color w:val="000000"/>
          <w:sz w:val="22"/>
          <w:lang w:val="pl-Pl"/>
        </w:rPr>
        <w:t xml:space="preserve"> Na podstawie indywidualnego programu rehabilitacji uczestnik warsztatu może brać udział w nieodpłatnych praktykach zawodowych u pracodawcy, w tym w spółdzielni socjalnej, w wymiarze do 15 godzin tygodniowo, przez okres do 3 miesięcy, z możliwością przedłużenia do 6 miesięcy.</w:t>
      </w:r>
    </w:p>
    <w:p>
      <w:pPr>
        <w:spacing w:before="26" w:after="0"/>
        <w:ind w:left="0"/>
        <w:jc w:val="left"/>
        <w:textAlignment w:val="auto"/>
      </w:pPr>
      <w:r>
        <w:rPr>
          <w:rFonts w:ascii="Times New Roman"/>
          <w:b w:val="false"/>
          <w:i w:val="false"/>
          <w:color w:val="000000"/>
          <w:sz w:val="22"/>
          <w:lang w:val="pl-Pl"/>
        </w:rPr>
        <w:t xml:space="preserve">3b. </w:t>
      </w:r>
      <w:r>
        <w:rPr>
          <w:rFonts w:ascii="Times New Roman"/>
          <w:b w:val="false"/>
          <w:i w:val="false"/>
          <w:color w:val="000000"/>
          <w:sz w:val="22"/>
          <w:vertAlign w:val="superscript"/>
          <w:lang w:val="pl-Pl"/>
        </w:rPr>
        <w:t>7</w:t>
      </w:r>
      <w:r>
        <w:rPr>
          <w:rFonts w:ascii="Times New Roman"/>
          <w:b w:val="false"/>
          <w:i w:val="false"/>
          <w:color w:val="000000"/>
          <w:sz w:val="22"/>
          <w:lang w:val="pl-Pl"/>
        </w:rPr>
        <w:t xml:space="preserve"> </w:t>
      </w:r>
      <w:r>
        <w:rPr>
          <w:rFonts w:ascii="Times New Roman"/>
          <w:b w:val="false"/>
          <w:i w:val="false"/>
          <w:color w:val="000000"/>
          <w:sz w:val="22"/>
          <w:lang w:val="pl-Pl"/>
        </w:rPr>
        <w:t xml:space="preserve"> W praktykach zawodowych, o których mowa w ust. 3a, nie może brać udziału jednocześnie więcej niż 50% liczby uczestników jednego warsztatu.</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warsztacie działa rada programowa, w skład której wchodzą:</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kierownik warsztatu;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specjaliści do spraw rehabilitacji lub rewalidacji;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instruktorzy terapii zajęciowej;</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psycholog;</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doradca zawodowy lub instruktor zawodu - w miarę potrzeb.</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Rada programowa dokonuje okresowej oraz, nie rzadziej niż co 3 lata, kompleksowej oceny realizacji indywidualnego programu rehabilitacji uczestnika warsztatu i zajmuje stanowisko w kwestii osiągniętych przez niego postępów w rehabilitacji, uzasadniających:</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podjęcie zatrudnienia i kontynuowanie rehabilitacji zawodowej w warunkach pracy chronionej lub na przystosowanym stanowisku pracy;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potrzebę skierowania osoby niepełnosprawnej do ośrodka wsparcia, w rozumieniu przepisów o pomocy społecznej, ze względu na brak postępów w rehabilitacji i złe rokowania co do możliwości osiągnięcia postępów uzasadniających podjęcie zatrudnienia i kontynuowanie rehabilitacji zawodowej w warunkach pracy chronionej lub na rynku pracy po odbyciu dalszej rehabilitacji w warsztacie;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przedłużenie uczestnictwa w terapii ze względu na:</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pozytywne rokowania co do przyszłych postępów w rehabilitacji, umożliwiających podjęcie zatrudnienia i kontynuowanie rehabilitacji zawodowej w warunkach pracy chronionej lub na rynku pracy,</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okresowy brak możliwości podjęcia zatrudnienia,</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okresowy brak możliwości skierowania osoby niepełnosprawnej do ośrodka wsparcia, o którym mowa w pkt 2.</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vertAlign w:val="superscript"/>
          <w:lang w:val="pl-Pl"/>
        </w:rPr>
        <w:t>8</w:t>
      </w:r>
      <w:r>
        <w:rPr>
          <w:rFonts w:ascii="Times New Roman"/>
          <w:b w:val="false"/>
          <w:i w:val="false"/>
          <w:color w:val="000000"/>
          <w:sz w:val="22"/>
          <w:lang w:val="pl-Pl"/>
        </w:rPr>
        <w:t xml:space="preserve"> </w:t>
      </w:r>
      <w:r>
        <w:rPr>
          <w:rFonts w:ascii="Times New Roman"/>
          <w:b w:val="false"/>
          <w:i w:val="false"/>
          <w:color w:val="000000"/>
          <w:sz w:val="22"/>
          <w:lang w:val="pl-Pl"/>
        </w:rPr>
        <w:t xml:space="preserve"> Rada programowa dokonuje pierwszej kompleksowej oceny realizacji indywidualnego programu rehabilitacji uczestnika warsztatu i zajmuje stanowisko w zakresie, o którym mowa w ust. 5, nie wcześniej niż przed upływem 3 miesięcy i nie później niż po upływie 6 miesięcy od dnia rozpoczęcia terapii w warsztacie.</w:t>
      </w:r>
    </w:p>
    <w:p>
      <w:pPr>
        <w:spacing w:before="80" w:after="0"/>
        <w:ind w:left="0"/>
        <w:jc w:val="left"/>
        <w:textAlignment w:val="auto"/>
      </w:pPr>
      <w:r>
        <w:rPr>
          <w:rFonts w:ascii="Times New Roman"/>
          <w:b/>
          <w:i w:val="false"/>
          <w:color w:val="000000"/>
          <w:sz w:val="22"/>
          <w:lang w:val="pl-Pl"/>
        </w:rPr>
        <w:t xml:space="preserve">Art. 10aa. </w:t>
      </w:r>
      <w:r>
        <w:rPr>
          <w:rFonts w:ascii="Times New Roman"/>
          <w:b/>
          <w:i w:val="false"/>
          <w:color w:val="000000"/>
          <w:sz w:val="22"/>
          <w:vertAlign w:val="superscript"/>
          <w:lang w:val="pl-Pl"/>
        </w:rPr>
        <w:t>9</w:t>
      </w:r>
      <w:r>
        <w:rPr>
          <w:rFonts w:ascii="Times New Roman"/>
          <w:b/>
          <w:i w:val="false"/>
          <w:color w:val="000000"/>
          <w:sz w:val="22"/>
          <w:lang w:val="pl-Pl"/>
        </w:rPr>
        <w:t xml:space="preserve"> </w:t>
      </w:r>
      <w:r>
        <w:rPr>
          <w:rFonts w:ascii="Times New Roman"/>
          <w:b/>
          <w:i w:val="false"/>
          <w:color w:val="000000"/>
          <w:sz w:val="22"/>
          <w:lang w:val="pl-Pl"/>
        </w:rPr>
        <w:t xml:space="preserve"> [Rada społeczna w warsztacie terapii zajęciowej]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warsztacie może działać rada społeczna, w skład której wchodzą przedstawiciele: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samorządu powiatowego;</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pracodawców;</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organizacji pozarządowych działających na rzecz osób niepełnosprawnych;</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rodziców i opiekunów uczestników warsztatu;</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uczestników warsztatu.</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Zadaniem rady społecznej jest wspieranie warsztatu w zakresie tworzenia ram współpracy z administracją publiczną, organizacjami pozarządowymi oraz pracodawcami w celu zapewnienia efektywności działań zmierzających do usamodzielniania uczestników warsztatu.</w:t>
      </w:r>
    </w:p>
    <w:p>
      <w:pPr>
        <w:spacing w:before="80" w:after="0"/>
        <w:ind w:left="0"/>
        <w:jc w:val="left"/>
        <w:textAlignment w:val="auto"/>
      </w:pPr>
      <w:r>
        <w:rPr>
          <w:rFonts w:ascii="Times New Roman"/>
          <w:b/>
          <w:i w:val="false"/>
          <w:color w:val="000000"/>
          <w:sz w:val="22"/>
          <w:lang w:val="pl-Pl"/>
        </w:rPr>
        <w:t xml:space="preserve">Art. 10b. </w:t>
      </w:r>
      <w:r>
        <w:rPr>
          <w:rFonts w:ascii="Times New Roman"/>
          <w:b/>
          <w:i w:val="false"/>
          <w:color w:val="000000"/>
          <w:sz w:val="22"/>
          <w:lang w:val="pl-Pl"/>
        </w:rPr>
        <w:t xml:space="preserve"> [Organizowanie warsztatów]</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Warsztaty mogą być organizowane przez fundacje, stowarzyszenia lub przez inne podmioty.</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Koszty utworzenia, działalności i wynikające ze zwiększenia liczby uczestników warsztatu są współfinansowane ze środków Państwowego Funduszu Rehabilitacji Osób Niepełnosprawnych, zwanego dalej "Funduszem" oraz ze środków samorządu powiatowego, lub innych źródeł, z zastrzeżeniem ust. 2a, 2b, 3 i 4 oraz art. 68c ust. 1.</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Koszty działalności warsztatu są finansowane ze środków samorządu powiatowego w wysokości co najmniej 10% tych kosztów.</w:t>
      </w:r>
    </w:p>
    <w:p>
      <w:pPr>
        <w:spacing w:before="26" w:after="0"/>
        <w:ind w:left="0"/>
        <w:jc w:val="left"/>
        <w:textAlignment w:val="auto"/>
      </w:pPr>
      <w:r>
        <w:rPr>
          <w:rFonts w:ascii="Times New Roman"/>
          <w:b w:val="false"/>
          <w:i w:val="false"/>
          <w:color w:val="000000"/>
          <w:sz w:val="22"/>
          <w:lang w:val="pl-Pl"/>
        </w:rPr>
        <w:t xml:space="preserve">2b. </w:t>
      </w:r>
      <w:r>
        <w:rPr>
          <w:rFonts w:ascii="Times New Roman"/>
          <w:b w:val="false"/>
          <w:i w:val="false"/>
          <w:color w:val="000000"/>
          <w:sz w:val="22"/>
          <w:vertAlign w:val="superscript"/>
          <w:lang w:val="pl-Pl"/>
        </w:rPr>
        <w:t>10</w:t>
      </w:r>
      <w:r>
        <w:rPr>
          <w:rFonts w:ascii="Times New Roman"/>
          <w:b w:val="false"/>
          <w:i w:val="false"/>
          <w:color w:val="000000"/>
          <w:sz w:val="22"/>
          <w:lang w:val="pl-Pl"/>
        </w:rPr>
        <w:t xml:space="preserve"> </w:t>
      </w:r>
      <w:r>
        <w:rPr>
          <w:rFonts w:ascii="Times New Roman"/>
          <w:b w:val="false"/>
          <w:i w:val="false"/>
          <w:color w:val="000000"/>
          <w:sz w:val="22"/>
          <w:lang w:val="pl-Pl"/>
        </w:rPr>
        <w:t xml:space="preserve"> Procentowy udział w kosztach działalności warsztatu, o którym mowa w ust. 2a, może być zmniejszony, pod warunkiem znalezienia innych źródeł ich finansowania, z zastrzeżeniem, że kwota obliczona zgodnie z ust. 2a przed znalezieniem innych źródeł finansowania tych kosztów nie ulega zmniejszeniu.</w:t>
      </w:r>
    </w:p>
    <w:p>
      <w:pPr>
        <w:spacing w:before="26" w:after="0"/>
        <w:ind w:left="0"/>
        <w:jc w:val="left"/>
        <w:textAlignment w:val="auto"/>
      </w:pPr>
      <w:r>
        <w:rPr>
          <w:rFonts w:ascii="Times New Roman"/>
          <w:b w:val="false"/>
          <w:i w:val="false"/>
          <w:color w:val="000000"/>
          <w:sz w:val="22"/>
          <w:lang w:val="pl-Pl"/>
        </w:rPr>
        <w:t xml:space="preserve">2c. </w:t>
      </w:r>
      <w:r>
        <w:rPr>
          <w:rFonts w:ascii="Times New Roman"/>
          <w:b w:val="false"/>
          <w:i w:val="false"/>
          <w:color w:val="000000"/>
          <w:sz w:val="22"/>
          <w:vertAlign w:val="superscript"/>
          <w:lang w:val="pl-Pl"/>
        </w:rPr>
        <w:t>11</w:t>
      </w:r>
      <w:r>
        <w:rPr>
          <w:rFonts w:ascii="Times New Roman"/>
          <w:b w:val="false"/>
          <w:i w:val="false"/>
          <w:color w:val="000000"/>
          <w:sz w:val="22"/>
          <w:lang w:val="pl-Pl"/>
        </w:rPr>
        <w:t xml:space="preserve"> </w:t>
      </w:r>
      <w:r>
        <w:rPr>
          <w:rFonts w:ascii="Times New Roman"/>
          <w:b w:val="false"/>
          <w:i w:val="false"/>
          <w:color w:val="000000"/>
          <w:sz w:val="22"/>
          <w:lang w:val="pl-Pl"/>
        </w:rPr>
        <w:t xml:space="preserve"> Przy tworzeniu warsztatów lub zwiększaniu liczby uczestników warsztatów należy brać pod uwagę potrzeby lokalnego systemu wsparcia wskazane w powiatowej strategii dotyczącej rozwiązywania problemów społecznych, komplementarność tego systemu wsparcia oraz liczbę osób niepełnosprawnych, których zgłoszenie do uczestnictwa w warsztacie zostało zatwierdzone.</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Dofinansowanie ze środków Funduszu kosztów uczestnictwa w warsztacie osób niepełnosprawnych przebywających w jednostkach organizacyjnych obowiązanych do zapewnienia terapii zajęciowej na podstawie odrębnych przepisów, jest obniżane w zależności od procentowego wskaźnika udziału tych osób w ogólnej liczbie uczestników warsztatu, zwanego dalej "wskaźnikiem udziału", z zastrzeżeniem ust. 4 i 5.</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Ze środków Funduszu nie mogą być dofinansowane koszty, o których mowa w ust. 3, w przypadku gdy wskaźnik udziału wynosi co najmniej 80%.</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Koszty, o których mowa w ust. 3, nie ulegają obniżeniu w przypadku, gdy wskaźnik udziału nie przekracza 30%.</w:t>
      </w:r>
    </w:p>
    <w:p>
      <w:pPr>
        <w:spacing w:before="26" w:after="0"/>
        <w:ind w:left="0"/>
        <w:jc w:val="left"/>
        <w:textAlignment w:val="auto"/>
      </w:pPr>
      <w:r>
        <w:rPr>
          <w:rFonts w:ascii="Times New Roman"/>
          <w:b w:val="false"/>
          <w:i w:val="false"/>
          <w:color w:val="000000"/>
          <w:sz w:val="22"/>
          <w:lang w:val="pl-Pl"/>
        </w:rPr>
        <w:t xml:space="preserve">5a. </w:t>
      </w:r>
      <w:r>
        <w:rPr>
          <w:rFonts w:ascii="Times New Roman"/>
          <w:b w:val="false"/>
          <w:i w:val="false"/>
          <w:color w:val="000000"/>
          <w:sz w:val="22"/>
          <w:vertAlign w:val="superscript"/>
          <w:lang w:val="pl-Pl"/>
        </w:rPr>
        <w:t>12</w:t>
      </w:r>
      <w:r>
        <w:rPr>
          <w:rFonts w:ascii="Times New Roman"/>
          <w:b w:val="false"/>
          <w:i w:val="false"/>
          <w:color w:val="000000"/>
          <w:sz w:val="22"/>
          <w:lang w:val="pl-Pl"/>
        </w:rPr>
        <w:t xml:space="preserve"> </w:t>
      </w:r>
      <w:r>
        <w:rPr>
          <w:rFonts w:ascii="Times New Roman"/>
          <w:b w:val="false"/>
          <w:i w:val="false"/>
          <w:color w:val="000000"/>
          <w:sz w:val="22"/>
          <w:lang w:val="pl-Pl"/>
        </w:rPr>
        <w:t xml:space="preserve"> Dofinansowanie, o którym mowa w ust. 3, nie ulega obniżeniu w przypadku odbywania praktyki zawodowej, o której mowa w art. 10a ust. 3a, przez osobę niepełnosprawną realizującą indywidualny program rehabilitacji.</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Powiat, którego mieszkańcy są uczestnikami rehabilitacji w warsztacie działającym na terenie innego powiatu, jest obowiązany do pokrywania kosztów rehabilitacji w odniesieniu do swoich mieszkańców, w części nieobjętej dofinansowaniem ze środków Funduszu, w wysokości i na zasadach określonych w porozumieniu zawartym z powiatem, na terenie którego działa warsztat.</w:t>
      </w:r>
    </w:p>
    <w:p>
      <w:pPr>
        <w:spacing w:before="26" w:after="0"/>
        <w:ind w:left="0"/>
        <w:jc w:val="left"/>
        <w:textAlignment w:val="auto"/>
      </w:pPr>
      <w:r>
        <w:rPr>
          <w:rFonts w:ascii="Times New Roman"/>
          <w:b w:val="false"/>
          <w:i w:val="false"/>
          <w:color w:val="000000"/>
          <w:sz w:val="22"/>
          <w:lang w:val="pl-Pl"/>
        </w:rPr>
        <w:t xml:space="preserve">6a. </w:t>
      </w:r>
      <w:r>
        <w:rPr>
          <w:rFonts w:ascii="Times New Roman"/>
          <w:b w:val="false"/>
          <w:i w:val="false"/>
          <w:color w:val="000000"/>
          <w:sz w:val="22"/>
          <w:lang w:val="pl-Pl"/>
        </w:rPr>
        <w:t>Powiatowe centra pomocy rodzinie przeprowadzają co najmniej raz w roku kontrolę warsztatów.</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Minister właściwy do spraw zabezpieczenia społecznego określi, w drodze rozporządzenia, szczegółowe zasady tworzenia, działania i dofinansowywania warsztatów, skład i zakres działania zespołu rozpatrującego wnioski oraz zakres działania rady programowej warsztatu, a także zakres i tryb przeprowadzania kontroli warsztatów przez powiatowe centra pomocy rodzinie, w tym:</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wzory, tryb składania oraz sposób rozpatrywania wniosków o dofinansowanie kosztów utworzenia, działalności i kosztów wynikających ze zwiększonej liczby uczestników warsztatu,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sposób dofinansowania kosztów utworzenia, działalności i kosztów wynikających ze zwiększonej liczby uczestników warsztatów,</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sposób sporządzania informacji o wykorzystaniu środków oraz sprawozdań z działalności warsztatu,</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szczegółowe zasady obniżania dofinansowania w zależności od wskaźnika udziału,</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szczegółowy zakres działania rady programowej oraz sposób dokonywania oceny postępów osób uczestniczących w rehabilitacji</w:t>
      </w:r>
    </w:p>
    <w:p>
      <w:pPr>
        <w:spacing w:before="25" w:after="0"/>
        <w:ind w:left="0"/>
        <w:jc w:val="both"/>
        <w:textAlignment w:val="auto"/>
      </w:pPr>
      <w:r>
        <w:rPr>
          <w:rFonts w:ascii="Times New Roman"/>
          <w:b w:val="false"/>
          <w:i w:val="false"/>
          <w:color w:val="000000"/>
          <w:sz w:val="22"/>
          <w:lang w:val="pl-Pl"/>
        </w:rPr>
        <w:t>- mając na względzie zapewnienie prawidłowego funkcjonowania warsztatów i odpowiedniego poziomu rehabilitacji.</w:t>
      </w:r>
    </w:p>
    <w:p>
      <w:pPr>
        <w:spacing w:before="80" w:after="0"/>
        <w:ind w:left="0"/>
        <w:jc w:val="left"/>
        <w:textAlignment w:val="auto"/>
      </w:pPr>
      <w:r>
        <w:rPr>
          <w:rFonts w:ascii="Times New Roman"/>
          <w:b/>
          <w:i w:val="false"/>
          <w:color w:val="000000"/>
          <w:sz w:val="22"/>
          <w:lang w:val="pl-Pl"/>
        </w:rPr>
        <w:t xml:space="preserve">Art. 10c. </w:t>
      </w:r>
      <w:r>
        <w:rPr>
          <w:rFonts w:ascii="Times New Roman"/>
          <w:b/>
          <w:i w:val="false"/>
          <w:color w:val="000000"/>
          <w:sz w:val="22"/>
          <w:lang w:val="pl-Pl"/>
        </w:rPr>
        <w:t xml:space="preserve"> [Turnusy rehabilitacyjne]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Turnus oznacza zorganizowaną formę aktywnej rehabilitacji połączonej z elementami wypoczynku, której celem jest ogólna poprawa psychofizycznej sprawności oraz rozwijanie umiejętności społecznych uczestników, między innymi przez nawiązywanie i rozwijanie kontaktów społecznych, realizację i rozwijanie zainteresowań, a także przez udział w innych zajęciach przewidzianych programem turnusu.</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Turnusy mogą być organizowane: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przez osoby fizyczne prowadzące działalność gospodarczą, osoby prawne i inne jednostki organizacyjne nieposiadające osobowości prawnej, które prowadzą co najmniej przez 2 lata działalność na rzecz osób niepełnosprawnych i uzyskały wpis do rejestru organizatorów prowadzonego przez wojewodę, zwane dalej "organizatorem turnusów";</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wyłącznie w ośrodkach, które uzyskały wpis do rejestru ośrodków prowadzonego przez wojewodę - z wyłączeniem turnusów organizowanych w formie, o której mowa w ust. 5 pkt 2, z zastrzeżeniem ust. 3.</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domach pomocy społecznej lub w innych placówkach opiekuńczych turnusy mogą być organizowane wyłącznie dla osób niepełnosprawnych niebędących stałymi podopiecznymi takich jednostek.</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Ośrodki, w których organizowane są turnusy, zapewniają osobom niepełnosprawnym odpowiednie warunki pobytu, dostosowane do rodzaju i stopnia niepełnosprawności uczestników turnusu, oraz bazę do prowadzenia rehabilitacji i realizacji określonego programu turnusu.</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Czas trwania turnusów, o których mowa w ust. 2, wynosi co najmniej 14 dni. Turnusy organizuje się wyłącznie na terenie kraju, w grupach zorganizowanych liczących nie mniej niż 20 uczestników, w formie: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stacjonarnej;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niestacjonarnej.</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Program turnusu określa: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rodzaj i cele turnusu oraz formy rehabilitacji odpowiednie do rodzajów schorzeń osób niepełnosprawnych;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rodzaje zajęć kulturalno-oświatowych i sportowo-rekreacyjnych oraz innych zajęć wynikających ze specjalistycznego rodzaju turnusu, z uwzględnieniem zajęć indywidualnych i grupowych;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kadrę odpowiedzialną za realizację programu turnusu.</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Organizator turnusów jest obowiązany do: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zabezpieczenia turnusu od strony organizacyjnej, technicznej i kadrowej w sposób gwarantujący osobom niepełnosprawnym bezpieczne warunki uczestnictwa w turnusie;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opracowania i realizacji programu turnusu;</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udostępniania właściwemu ze względu na miejsce prowadzenia działalności powiatowego centrum pomocy rodzinie informacji zawierających:</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nazwy ośrodka i miejscowości, w której będą odbywały się turnusy,</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daty rozpoczęcia i zakończenia turnusów,</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warunki pobytu w ośrodku, w którym organizuje się turnusy,</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program turnusu, o którym mowa w ust. 6,</w:t>
      </w:r>
    </w:p>
    <w:p>
      <w:pPr>
        <w:spacing w:after="0"/>
        <w:ind w:left="746"/>
        <w:jc w:val="left"/>
        <w:textAlignment w:val="auto"/>
      </w:pPr>
      <w:r>
        <w:rPr>
          <w:rFonts w:ascii="Times New Roman"/>
          <w:b w:val="false"/>
          <w:i w:val="false"/>
          <w:color w:val="000000"/>
          <w:sz w:val="22"/>
          <w:lang w:val="pl-Pl"/>
        </w:rPr>
        <w:t xml:space="preserve">e) </w:t>
      </w:r>
      <w:r>
        <w:rPr>
          <w:rFonts w:ascii="Times New Roman"/>
          <w:b w:val="false"/>
          <w:i w:val="false"/>
          <w:color w:val="000000"/>
          <w:sz w:val="22"/>
          <w:lang w:val="pl-Pl"/>
        </w:rPr>
        <w:t>koszt uczestnictwa w turnusie;</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przesłania do właściwego powiatowego centrum pomocy rodzinie informacji o przebiegu turnusu w terminie 21 dni od dnia zakończenia turnusu, sporządzonej odrębnie dla każdego uczestnika korzystającego z dofinansowania ze środków Funduszu;</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przechowywania dokumentów dotyczących przebiegu turnusu przez okres 3 lat.</w:t>
      </w:r>
    </w:p>
    <w:p>
      <w:pPr>
        <w:spacing w:before="80" w:after="0"/>
        <w:ind w:left="0"/>
        <w:jc w:val="left"/>
        <w:textAlignment w:val="auto"/>
      </w:pPr>
      <w:r>
        <w:rPr>
          <w:rFonts w:ascii="Times New Roman"/>
          <w:b/>
          <w:i w:val="false"/>
          <w:color w:val="000000"/>
          <w:sz w:val="22"/>
          <w:lang w:val="pl-Pl"/>
        </w:rPr>
        <w:t xml:space="preserve">Art. 10d. </w:t>
      </w:r>
      <w:r>
        <w:rPr>
          <w:rFonts w:ascii="Times New Roman"/>
          <w:b/>
          <w:i w:val="false"/>
          <w:color w:val="000000"/>
          <w:sz w:val="22"/>
          <w:lang w:val="pl-Pl"/>
        </w:rPr>
        <w:t xml:space="preserve"> [Rejestr ośrodków i rejestr organizatorów turnusów]</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Wojewoda prowadzi rejestr ośrodków oraz rejestr organizatorów turnusów i dokonuje wpisu do tych rejestrów na okres 3 lat po spełnieniu przez ośrodek lub organizatora turnusów warunków określonych zgodnie z ust. 8 pkt 3.</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Ośrodki ubiegające się o uzyskanie wpisu do rejestru ośrodków przyjmujących grupy turnusowe składają wniosek o wpis do rejestru do właściwego terytorialnie samorządu województwa, który po zaopiniowaniu wniosku, w terminie 30 dni od dnia jego wpływu przekazuje wniosek wojewodzie.</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Podmioty ubiegające się o uzyskanie wpisu do rejestru organizatorów turnusów składają wniosek o wpis do tego rejestru do wojewody właściwego ze względu na siedzibę organizatora turnusu.</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Rozpatrzenie przez wojewodę wniosku następuje w terminie 30 dni od dnia jego wpływu. O sposobie rozpatrzenia wniosków, o których mowa w ust. 2 i 3, wojewoda zawiadamia odpowiednio ośrodek i samorząd województwa albo organizatora turnusu.</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Ośrodek lub organizator turnusu, który uzyskał wpis do rejestru, jest obowiązany do niezwłocznego powiadomienia wojewody o każdej zmianie warunków stanowiących podstawę uzyskania wpisu do rejestru ośrodków lub rejestru organizatorów turnusów.</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Wojewoda wykreśla ośrodek lub organizatora turnusu z rejestru w razie: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niespełniania warunków określonych na podstawie ust. 8 pkt 3;</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uniemożliwienia kontroli ośrodka lub organizatora turnusu.</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O wpisie lub wykreśleniu z rejestrów, o których mowa w ust. 1, wojewoda informuje w ciągu 14 dni Pełnomocnika, który prowadzi centralną bazę danych ośrodków i organizatorów turnusów posiadających wpis do rejestru wojewody oraz wydaje krajowy informator o ośrodkach i organizatorach turnusów posiadających taki wpis.</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rodzaje turnusów organizowanych przy udziale środków Funduszu oraz warunki uczestnictwa w tych turnusach,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warunki, jakie powinny spełniać osoby niepełnosprawne ubiegające się o dofinansowanie uczestnictwa w turnusie, tryb składania i rozpatrywania wniosków o dofinansowanie, wysokość oraz sposób przyznawania i przekazywania tego dofinansowania ze środków Funduszu,</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warunki, jakie powinni spełniać organizatorzy turnusów i ośrodki, w których odbywają się turnusy, sposób oceny spełniania tych warunków i dokonywania wpisu do rejestrów oraz zasady prowadzenia rejestrów,</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zakres, sposób i tryb kontroli organizatorów oraz ośrodków wpisanych do rejestrów, prowadzonej przez powiatowe centrum pomocy rodzinie lub wojewodę i obowiązki związane z tą kontrolą,</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zakres przekazywanych przez wojewodę informacji o ośrodkach i organizatorach turnusów posiadających wpis do rejestrów, o których mowa w ust. 1, zasady prowadzenia centralnej bazy danych ośrodków i organizatorów turnusów posiadających taki wpis oraz udostępniania danych znajdujących się w tej bazie,</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wzory wniosków, zawiadomień i informacji</w:t>
      </w:r>
    </w:p>
    <w:p>
      <w:pPr>
        <w:spacing w:before="25" w:after="0"/>
        <w:ind w:left="0"/>
        <w:jc w:val="both"/>
        <w:textAlignment w:val="auto"/>
      </w:pPr>
      <w:r>
        <w:rPr>
          <w:rFonts w:ascii="Times New Roman"/>
          <w:b w:val="false"/>
          <w:i w:val="false"/>
          <w:color w:val="000000"/>
          <w:sz w:val="22"/>
          <w:lang w:val="pl-Pl"/>
        </w:rPr>
        <w:t>- mając na względzie zapewnienie odpowiedniego poziomu rehabilitacji.</w:t>
      </w:r>
    </w:p>
    <w:p>
      <w:pPr>
        <w:spacing w:before="80" w:after="0"/>
        <w:ind w:left="0"/>
        <w:jc w:val="left"/>
        <w:textAlignment w:val="auto"/>
      </w:pPr>
      <w:r>
        <w:rPr>
          <w:rFonts w:ascii="Times New Roman"/>
          <w:b/>
          <w:i w:val="false"/>
          <w:color w:val="000000"/>
          <w:sz w:val="22"/>
          <w:lang w:val="pl-Pl"/>
        </w:rPr>
        <w:t xml:space="preserve">Art. 10e. </w:t>
      </w:r>
      <w:r>
        <w:rPr>
          <w:rFonts w:ascii="Times New Roman"/>
          <w:b/>
          <w:i w:val="false"/>
          <w:color w:val="000000"/>
          <w:sz w:val="22"/>
          <w:lang w:val="pl-Pl"/>
        </w:rPr>
        <w:t xml:space="preserve"> [Dofinansowanie uczestnictwa w turnusie]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Osoba niepełnosprawna może ubiegać się o dofinansowanie ze środków Funduszu uczestnictwa w turnusie, jeżeli przeciętny miesięczny dochód, w rozumieniu przepisów o świadczeniach rodzinnych, podzielony przez liczbę osób we wspólnym gospodarstwie domowym, obliczony za kwartał poprzedzający miesiąc złożenia wniosku, nie przekracza kwoty: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50% przeciętnego wynagrodzenia na osobę we wspólnym gospodarstwie domowym;</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65% przeciętnego wynagrodzenia w przypadku osoby samotnej.</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przekroczenia kwot dochodu, o których mowa w ust. 1, kwotę dofinansowania pomniejsza się o kwotę, o którą dochód ten został przekroczony, z zastrzeżeniem ust. 3.</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przypadku uzasadnionym trudną sytuacją materialną lub losową osoby niepełnosprawnej dofinansowanie ze środków Funduszu uczestnictwa w turnusie tej osoby lub dofinansowanie uczestnictwa jej opiekuna może zostać przyznane bez pomniejszania kwoty dofinansowania pomimo przekroczenia kwot dochodu, o których mowa w ust. 1.</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Kwota dofinansowania do uczestnictwa w turnusie przyznana osobie niepełnosprawnej jest przekazywana na rachunek bankowy organizatora turnusu.</w:t>
      </w:r>
    </w:p>
    <w:p>
      <w:pPr>
        <w:spacing w:before="80" w:after="0"/>
        <w:ind w:left="0"/>
        <w:jc w:val="left"/>
        <w:textAlignment w:val="auto"/>
      </w:pPr>
      <w:r>
        <w:rPr>
          <w:rFonts w:ascii="Times New Roman"/>
          <w:b/>
          <w:i w:val="false"/>
          <w:color w:val="000000"/>
          <w:sz w:val="22"/>
          <w:lang w:val="pl-Pl"/>
        </w:rPr>
        <w:t xml:space="preserve">Art. 10f. </w:t>
      </w:r>
      <w:r>
        <w:rPr>
          <w:rFonts w:ascii="Times New Roman"/>
          <w:b/>
          <w:i w:val="false"/>
          <w:color w:val="000000"/>
          <w:sz w:val="22"/>
          <w:lang w:val="pl-Pl"/>
        </w:rPr>
        <w:t xml:space="preserve"> [Skierowania do uczestnictwa w warsztacie lub turnusie]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Osoby niepełnosprawne są kierowane do uczestnictwa w:</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warsztacie - zgodnie ze wskazaniem zawartym w orzeczeniu o niepełnosprawności lub o stopniu niepełnosprawności;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turnusie - na wniosek lekarza, pod którego opieką znajduje się ta osoba.</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Podmiot zamierzający zorganizować lub prowadzący warsztat przyjmuje i zatwierdza, w uzgodnieniu z powiatowym centrum pomocy rodzinie, zgłoszenie osób do uczestnictwa w warsztacie.</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vertAlign w:val="superscript"/>
          <w:lang w:val="pl-Pl"/>
        </w:rPr>
        <w:t>13</w:t>
      </w:r>
      <w:r>
        <w:rPr>
          <w:rFonts w:ascii="Times New Roman"/>
          <w:b w:val="false"/>
          <w:i w:val="false"/>
          <w:color w:val="000000"/>
          <w:sz w:val="22"/>
          <w:lang w:val="pl-Pl"/>
        </w:rPr>
        <w:t xml:space="preserve"> </w:t>
      </w:r>
      <w:r>
        <w:rPr>
          <w:rFonts w:ascii="Times New Roman"/>
          <w:b w:val="false"/>
          <w:i w:val="false"/>
          <w:color w:val="000000"/>
          <w:sz w:val="22"/>
          <w:lang w:val="pl-Pl"/>
        </w:rPr>
        <w:t xml:space="preserve"> Podmiot prowadzący warsztat prowadzi listę osób niepełnosprawnych, których zgłoszenie do uczestnictwa w warsztacie zostało zatwierdzone i które nie rozpoczęły terapii w warsztacie.</w:t>
      </w:r>
    </w:p>
    <w:p>
      <w:pPr>
        <w:spacing w:before="26" w:after="0"/>
        <w:ind w:left="0"/>
        <w:jc w:val="left"/>
        <w:textAlignment w:val="auto"/>
      </w:pPr>
      <w:r>
        <w:rPr>
          <w:rFonts w:ascii="Times New Roman"/>
          <w:b w:val="false"/>
          <w:i w:val="false"/>
          <w:color w:val="000000"/>
          <w:sz w:val="22"/>
          <w:lang w:val="pl-Pl"/>
        </w:rPr>
        <w:t xml:space="preserve">2b. </w:t>
      </w:r>
      <w:r>
        <w:rPr>
          <w:rFonts w:ascii="Times New Roman"/>
          <w:b w:val="false"/>
          <w:i w:val="false"/>
          <w:color w:val="000000"/>
          <w:sz w:val="22"/>
          <w:vertAlign w:val="superscript"/>
          <w:lang w:val="pl-Pl"/>
        </w:rPr>
        <w:t>14</w:t>
      </w:r>
      <w:r>
        <w:rPr>
          <w:rFonts w:ascii="Times New Roman"/>
          <w:b w:val="false"/>
          <w:i w:val="false"/>
          <w:color w:val="000000"/>
          <w:sz w:val="22"/>
          <w:lang w:val="pl-Pl"/>
        </w:rPr>
        <w:t xml:space="preserve"> </w:t>
      </w:r>
      <w:r>
        <w:rPr>
          <w:rFonts w:ascii="Times New Roman"/>
          <w:b w:val="false"/>
          <w:i w:val="false"/>
          <w:color w:val="000000"/>
          <w:sz w:val="22"/>
          <w:lang w:val="pl-Pl"/>
        </w:rPr>
        <w:t xml:space="preserve"> Osoba niepełnosprawna, która opuściła warsztat w związku z podjęciem zatrudnienia, w przypadku utraty tego zatrudnienia i ponownego zgłoszenia do uczestnictwa w warsztacie w terminie 90 dni od dnia opuszczenia przez nią warsztatu, jest wpisywana na listę, o której mowa w ust. 2a, i ma pierwszeństwo w rozpoczęciu terapii.</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Wnioski osób niepełnosprawnych o dofinansowanie uczestnictwa w turnusie są składane w powiatowych centrach pomocy rodzinie.</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vertAlign w:val="superscript"/>
          <w:lang w:val="pl-Pl"/>
        </w:rPr>
        <w:t>15</w:t>
      </w:r>
      <w:r>
        <w:rPr>
          <w:rFonts w:ascii="Times New Roman"/>
          <w:b w:val="false"/>
          <w:i w:val="false"/>
          <w:color w:val="000000"/>
          <w:sz w:val="22"/>
          <w:lang w:val="pl-Pl"/>
        </w:rPr>
        <w:t xml:space="preserve"> </w:t>
      </w:r>
      <w:r>
        <w:rPr>
          <w:rFonts w:ascii="Times New Roman"/>
          <w:b w:val="false"/>
          <w:i w:val="false"/>
          <w:color w:val="000000"/>
          <w:sz w:val="22"/>
          <w:lang w:val="pl-Pl"/>
        </w:rPr>
        <w:t xml:space="preserve"> Uczestnik warsztatu ma prawo do uczestnictwa w terapii zajęciowej do końca miesiąca następującego po miesiącu, w którym nastąpiła utrata ważności orzeczenia o stopniu niepełnosprawności.</w:t>
      </w:r>
    </w:p>
    <w:p>
      <w:pPr>
        <w:spacing w:before="80" w:after="0"/>
        <w:ind w:left="0"/>
        <w:jc w:val="left"/>
        <w:textAlignment w:val="auto"/>
      </w:pPr>
      <w:r>
        <w:rPr>
          <w:rFonts w:ascii="Times New Roman"/>
          <w:b/>
          <w:i w:val="false"/>
          <w:color w:val="000000"/>
          <w:sz w:val="22"/>
          <w:lang w:val="pl-Pl"/>
        </w:rPr>
        <w:t xml:space="preserve">Art. 10g. </w:t>
      </w:r>
      <w:r>
        <w:rPr>
          <w:rFonts w:ascii="Times New Roman"/>
          <w:b/>
          <w:i w:val="false"/>
          <w:color w:val="000000"/>
          <w:sz w:val="22"/>
          <w:vertAlign w:val="superscript"/>
          <w:lang w:val="pl-Pl"/>
        </w:rPr>
        <w:t>16</w:t>
      </w:r>
      <w:r>
        <w:rPr>
          <w:rFonts w:ascii="Times New Roman"/>
          <w:b/>
          <w:i w:val="false"/>
          <w:color w:val="000000"/>
          <w:sz w:val="22"/>
          <w:lang w:val="pl-Pl"/>
        </w:rPr>
        <w:t xml:space="preserve"> </w:t>
      </w:r>
      <w:r>
        <w:rPr>
          <w:rFonts w:ascii="Times New Roman"/>
          <w:b/>
          <w:i w:val="false"/>
          <w:color w:val="000000"/>
          <w:sz w:val="22"/>
          <w:lang w:val="pl-Pl"/>
        </w:rPr>
        <w:t xml:space="preserve"> [Zajęcia klubowe]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Zajęcia klubowe oznaczają zorganizowaną formę rehabilitacji mającą na celu wspieranie osób niepełnosprawnych w utrzymaniu samodzielności i niezależności w życiu społecznym i zawodowym.</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Zajęcia klubowe mogą obejmować aktywne formy wspierania osoby niepełnosprawnej w podjęciu lub utrzymaniu zatrudnienia.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Zajęcia klubowe mogą być prowadzone przez warsztat dla osób, które były uczestnikami tego warsztatu i opuściły go w związku z podjęciem zatrudnienia, oraz osób wpisanych na listę, o której mowa w art. 10f ust. 2a.</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 xml:space="preserve">Osoba niepełnosprawna może kontynuować zajęcia klubowe bez względu na utratę lub zmianę zatrudnienia. </w:t>
      </w:r>
    </w:p>
    <w:p>
      <w:pPr>
        <w:spacing w:before="80" w:after="0"/>
        <w:ind w:left="0"/>
        <w:jc w:val="left"/>
        <w:textAlignment w:val="auto"/>
      </w:pPr>
      <w:r>
        <w:rPr>
          <w:rFonts w:ascii="Times New Roman"/>
          <w:b/>
          <w:i w:val="false"/>
          <w:color w:val="000000"/>
          <w:sz w:val="22"/>
          <w:lang w:val="pl-Pl"/>
        </w:rPr>
        <w:t xml:space="preserve">Art. 10h. </w:t>
      </w:r>
      <w:r>
        <w:rPr>
          <w:rFonts w:ascii="Times New Roman"/>
          <w:b/>
          <w:i w:val="false"/>
          <w:color w:val="000000"/>
          <w:sz w:val="22"/>
          <w:vertAlign w:val="superscript"/>
          <w:lang w:val="pl-Pl"/>
        </w:rPr>
        <w:t>17</w:t>
      </w:r>
      <w:r>
        <w:rPr>
          <w:rFonts w:ascii="Times New Roman"/>
          <w:b/>
          <w:i w:val="false"/>
          <w:color w:val="000000"/>
          <w:sz w:val="22"/>
          <w:lang w:val="pl-Pl"/>
        </w:rPr>
        <w:t xml:space="preserve"> </w:t>
      </w:r>
      <w:r>
        <w:rPr>
          <w:rFonts w:ascii="Times New Roman"/>
          <w:b/>
          <w:i w:val="false"/>
          <w:color w:val="000000"/>
          <w:sz w:val="22"/>
          <w:lang w:val="pl-Pl"/>
        </w:rPr>
        <w:t xml:space="preserve"> [Czas trwania oraz szczegółowy zakres i organizacja zajęć klubowych]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Czas trwania zajęć klubowych dla osoby niepełnosprawnej wynosi nie mniej niż 5 godzin miesięcznie. </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Szczegółowy zakres i organizację zajęć klubowych ustala warsztat.</w:t>
      </w:r>
    </w:p>
    <w:p>
      <w:pPr>
        <w:spacing w:before="146" w:after="0"/>
        <w:ind w:left="0"/>
        <w:jc w:val="center"/>
        <w:textAlignment w:val="auto"/>
      </w:pPr>
      <w:r>
        <w:rPr>
          <w:rFonts w:ascii="Times New Roman"/>
          <w:b/>
          <w:i w:val="false"/>
          <w:color w:val="000000"/>
          <w:sz w:val="22"/>
          <w:lang w:val="pl-Pl"/>
        </w:rPr>
        <w:t xml:space="preserve">Rozdział 4 </w:t>
      </w:r>
    </w:p>
    <w:p>
      <w:pPr>
        <w:spacing w:before="25" w:after="0"/>
        <w:ind w:left="0"/>
        <w:jc w:val="center"/>
        <w:textAlignment w:val="auto"/>
      </w:pPr>
      <w:r>
        <w:rPr>
          <w:rFonts w:ascii="Times New Roman"/>
          <w:b/>
          <w:i w:val="false"/>
          <w:color w:val="000000"/>
          <w:sz w:val="22"/>
          <w:lang w:val="pl-Pl"/>
        </w:rPr>
        <w:t>Uprawnienia osób niepełnosprawnych</w:t>
      </w:r>
    </w:p>
    <w:p>
      <w:pPr>
        <w:spacing w:before="80" w:after="0"/>
        <w:ind w:left="0"/>
        <w:jc w:val="left"/>
        <w:textAlignment w:val="auto"/>
      </w:pPr>
      <w:r>
        <w:rPr>
          <w:rFonts w:ascii="Times New Roman"/>
          <w:b/>
          <w:i w:val="false"/>
          <w:color w:val="000000"/>
          <w:sz w:val="22"/>
          <w:lang w:val="pl-Pl"/>
        </w:rPr>
        <w:t xml:space="preserve">Art. 11. </w:t>
      </w:r>
      <w:r>
        <w:rPr>
          <w:rFonts w:ascii="Times New Roman"/>
          <w:b/>
          <w:i w:val="false"/>
          <w:color w:val="000000"/>
          <w:sz w:val="22"/>
          <w:lang w:val="pl-Pl"/>
        </w:rPr>
        <w:t xml:space="preserve"> [Uprawnienia bezrobotnej osoby niepełnosprawnej]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Osoba niepełnosprawna zarejestrowana w powiatowym urzędzie pracy jako bezrobotna albo poszukująca pracy niepozostająca w zatrudnieniu ma prawo korzystać z usług lub instrumentów rynku pracy na zasadach określonych w </w:t>
      </w:r>
      <w:r>
        <w:rPr>
          <w:rFonts w:ascii="Times New Roman"/>
          <w:b w:val="false"/>
          <w:i w:val="false"/>
          <w:color w:val="1b1b1b"/>
          <w:sz w:val="22"/>
          <w:lang w:val="pl-Pl"/>
        </w:rPr>
        <w:t>ustawie</w:t>
      </w:r>
      <w:r>
        <w:rPr>
          <w:rFonts w:ascii="Times New Roman"/>
          <w:b w:val="false"/>
          <w:i w:val="false"/>
          <w:color w:val="000000"/>
          <w:sz w:val="22"/>
          <w:lang w:val="pl-Pl"/>
        </w:rPr>
        <w:t xml:space="preserve"> z dnia 20 kwietnia 2004 r. o promocji zatrudnienia i instytucjach rynku pracy (Dz. U. z 2017 r. poz. 1065, z późn. zm.), zwanej dalej "ustawą o promocji".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Osoba niepełnosprawna zarejestrowana w powiatowym urzędzie pracy jako poszukująca pracy niepozostająca w zatrudnieniu może również korzystać na zasadach takich jak bezrobotni z następujących usług lub instrumentów określonych w </w:t>
      </w:r>
      <w:r>
        <w:rPr>
          <w:rFonts w:ascii="Times New Roman"/>
          <w:b w:val="false"/>
          <w:i w:val="false"/>
          <w:color w:val="1b1b1b"/>
          <w:sz w:val="22"/>
          <w:lang w:val="pl-Pl"/>
        </w:rPr>
        <w:t>ustawie</w:t>
      </w:r>
      <w:r>
        <w:rPr>
          <w:rFonts w:ascii="Times New Roman"/>
          <w:b w:val="false"/>
          <w:i w:val="false"/>
          <w:color w:val="000000"/>
          <w:sz w:val="22"/>
          <w:lang w:val="pl-Pl"/>
        </w:rPr>
        <w:t xml:space="preserve"> o promocji: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szkoleń;</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stażu;</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prac interwencyjnych;</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przygotowania zawodowego dorosłych;</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 xml:space="preserve">badań lekarskich lub psychologicznych, o których mowa w </w:t>
      </w:r>
      <w:r>
        <w:rPr>
          <w:rFonts w:ascii="Times New Roman"/>
          <w:b w:val="false"/>
          <w:i w:val="false"/>
          <w:color w:val="1b1b1b"/>
          <w:sz w:val="22"/>
          <w:lang w:val="pl-Pl"/>
        </w:rPr>
        <w:t>art. 2 ust. 3</w:t>
      </w:r>
      <w:r>
        <w:rPr>
          <w:rFonts w:ascii="Times New Roman"/>
          <w:b w:val="false"/>
          <w:i w:val="false"/>
          <w:color w:val="000000"/>
          <w:sz w:val="22"/>
          <w:lang w:val="pl-Pl"/>
        </w:rPr>
        <w:t xml:space="preserve"> ustawy o promocji;</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 xml:space="preserve">zwrotu kosztów, o których mowa w </w:t>
      </w:r>
      <w:r>
        <w:rPr>
          <w:rFonts w:ascii="Times New Roman"/>
          <w:b w:val="false"/>
          <w:i w:val="false"/>
          <w:color w:val="1b1b1b"/>
          <w:sz w:val="22"/>
          <w:lang w:val="pl-Pl"/>
        </w:rPr>
        <w:t>art. 45 ust. 1</w:t>
      </w:r>
      <w:r>
        <w:rPr>
          <w:rFonts w:ascii="Times New Roman"/>
          <w:b w:val="false"/>
          <w:i w:val="false"/>
          <w:color w:val="000000"/>
          <w:sz w:val="22"/>
          <w:lang w:val="pl-Pl"/>
        </w:rPr>
        <w:t xml:space="preserve">, </w:t>
      </w:r>
      <w:r>
        <w:rPr>
          <w:rFonts w:ascii="Times New Roman"/>
          <w:b w:val="false"/>
          <w:i w:val="false"/>
          <w:color w:val="1b1b1b"/>
          <w:sz w:val="22"/>
          <w:lang w:val="pl-Pl"/>
        </w:rPr>
        <w:t>2</w:t>
      </w:r>
      <w:r>
        <w:rPr>
          <w:rFonts w:ascii="Times New Roman"/>
          <w:b w:val="false"/>
          <w:i w:val="false"/>
          <w:color w:val="000000"/>
          <w:sz w:val="22"/>
          <w:lang w:val="pl-Pl"/>
        </w:rPr>
        <w:t xml:space="preserve"> i </w:t>
      </w:r>
      <w:r>
        <w:rPr>
          <w:rFonts w:ascii="Times New Roman"/>
          <w:b w:val="false"/>
          <w:i w:val="false"/>
          <w:color w:val="1b1b1b"/>
          <w:sz w:val="22"/>
          <w:lang w:val="pl-Pl"/>
        </w:rPr>
        <w:t>4</w:t>
      </w:r>
      <w:r>
        <w:rPr>
          <w:rFonts w:ascii="Times New Roman"/>
          <w:b w:val="false"/>
          <w:i w:val="false"/>
          <w:color w:val="000000"/>
          <w:sz w:val="22"/>
          <w:lang w:val="pl-Pl"/>
        </w:rPr>
        <w:t xml:space="preserve"> ustawy o promocji;</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 xml:space="preserve">finansowania kosztów, o których mowa w </w:t>
      </w:r>
      <w:r>
        <w:rPr>
          <w:rFonts w:ascii="Times New Roman"/>
          <w:b w:val="false"/>
          <w:i w:val="false"/>
          <w:color w:val="1b1b1b"/>
          <w:sz w:val="22"/>
          <w:lang w:val="pl-Pl"/>
        </w:rPr>
        <w:t>art. 45 ust. 3</w:t>
      </w:r>
      <w:r>
        <w:rPr>
          <w:rFonts w:ascii="Times New Roman"/>
          <w:b w:val="false"/>
          <w:i w:val="false"/>
          <w:color w:val="000000"/>
          <w:sz w:val="22"/>
          <w:lang w:val="pl-Pl"/>
        </w:rPr>
        <w:t xml:space="preserve"> ustawy o promocji;</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studiów podyplomowych;</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szkoleń na podstawie trójstronnych umów szkoleniowych zawieranych pomiędzy starostą, pracodawcą i instytucją szkoleniową;</w:t>
      </w:r>
    </w:p>
    <w:p>
      <w:pPr>
        <w:spacing w:before="26" w:after="0"/>
        <w:ind w:left="373"/>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bonu na zasiedlenie;</w:t>
      </w:r>
    </w:p>
    <w:p>
      <w:pPr>
        <w:spacing w:before="26" w:after="0"/>
        <w:ind w:left="373"/>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bonu szkoleniowego;</w:t>
      </w:r>
    </w:p>
    <w:p>
      <w:pPr>
        <w:spacing w:before="26" w:after="0"/>
        <w:ind w:left="373"/>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bonu stażowego.</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Wydatki na instrumenty lub usługi rynku pracy, o których mowa w ust. 1 i 2, są finansowane w odniesieniu do osób niepełnosprawnych zarejestrowanych jako: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bezrobotne - ze środków Funduszu Pracy;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poszukujące pracy niepozostające w zatrudnieniu - ze środków Funduszu.</w:t>
      </w:r>
    </w:p>
    <w:p>
      <w:pPr>
        <w:spacing w:before="80" w:after="0"/>
        <w:ind w:left="0"/>
        <w:jc w:val="left"/>
        <w:textAlignment w:val="auto"/>
      </w:pPr>
      <w:r>
        <w:rPr>
          <w:rFonts w:ascii="Times New Roman"/>
          <w:b/>
          <w:i w:val="false"/>
          <w:color w:val="000000"/>
          <w:sz w:val="22"/>
          <w:lang w:val="pl-Pl"/>
        </w:rPr>
        <w:t xml:space="preserve">Art. 12.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12a. </w:t>
      </w:r>
      <w:r>
        <w:rPr>
          <w:rFonts w:ascii="Times New Roman"/>
          <w:b/>
          <w:i w:val="false"/>
          <w:color w:val="000000"/>
          <w:sz w:val="22"/>
          <w:lang w:val="pl-Pl"/>
        </w:rPr>
        <w:t xml:space="preserve"> [Jednorazowa pomoc na podjęcie działalności gospodarczej, rolniczej lub na podjęcie działalności w formie spółdzielni socjalnej]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vertAlign w:val="superscript"/>
          <w:lang w:val="pl-Pl"/>
        </w:rPr>
        <w:t>18</w:t>
      </w:r>
      <w:r>
        <w:rPr>
          <w:rFonts w:ascii="Times New Roman"/>
          <w:b w:val="false"/>
          <w:i w:val="false"/>
          <w:color w:val="000000"/>
          <w:sz w:val="22"/>
          <w:lang w:val="pl-Pl"/>
        </w:rPr>
        <w:t xml:space="preserve"> </w:t>
      </w:r>
      <w:r>
        <w:rPr>
          <w:rFonts w:ascii="Times New Roman"/>
          <w:b w:val="false"/>
          <w:i w:val="false"/>
          <w:color w:val="000000"/>
          <w:sz w:val="22"/>
          <w:lang w:val="pl-Pl"/>
        </w:rPr>
        <w:t xml:space="preserve"> Osoba niepełnosprawna, o której mowa w art. 11 ust. 1, może otrzymać ze środków Funduszu jednorazowo środki na podjęcie działalności gospodarczej, rolniczej albo na podjęcie działalności w formie spółdzielni socjalnej na jednego członka założyciela spółdzielni oraz na jednego członka przystępującego do spółdzielni socjalnej po jej założeniu, w wysokości określonej w umowie zawartej ze starostą:</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nie wyższej niż sześciokrotność przeciętnego wynagrodzenia, w przypadku zobowiązania do prowadzenia działalności gospodarczej, rolniczej lub członkostwa w spółdzielni socjalnej nieprzerwanie przez okres co najmniej 12 miesięcy,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wynoszącej od sześciokrotności do piętnastokrotności przeciętnego wynagrodzenia, w przypadku zobowiązania do prowadzenia działalności gospodarczej, rolniczej lub członkostwa w spółdzielni socjalnej nieprzerwanie przez okres co najmniej 24 miesięcy</w:t>
      </w:r>
    </w:p>
    <w:p>
      <w:pPr>
        <w:spacing w:before="25" w:after="0"/>
        <w:ind w:left="0"/>
        <w:jc w:val="both"/>
        <w:textAlignment w:val="auto"/>
      </w:pPr>
      <w:r>
        <w:rPr>
          <w:rFonts w:ascii="Times New Roman"/>
          <w:b w:val="false"/>
          <w:i w:val="false"/>
          <w:color w:val="000000"/>
          <w:sz w:val="22"/>
          <w:lang w:val="pl-Pl"/>
        </w:rPr>
        <w:t>- jeżeli nie otrzymała bezzwrotnych środków publicznych na ten cel.</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vertAlign w:val="superscript"/>
          <w:lang w:val="pl-Pl"/>
        </w:rPr>
        <w:t>19</w:t>
      </w:r>
      <w:r>
        <w:rPr>
          <w:rFonts w:ascii="Times New Roman"/>
          <w:b w:val="false"/>
          <w:i w:val="false"/>
          <w:color w:val="000000"/>
          <w:sz w:val="22"/>
          <w:lang w:val="pl-Pl"/>
        </w:rPr>
        <w:t xml:space="preserve"> </w:t>
      </w:r>
      <w:r>
        <w:rPr>
          <w:rFonts w:ascii="Times New Roman"/>
          <w:b w:val="false"/>
          <w:i w:val="false"/>
          <w:color w:val="000000"/>
          <w:sz w:val="22"/>
          <w:lang w:val="pl-Pl"/>
        </w:rPr>
        <w:t xml:space="preserve"> Osoba niepełnosprawna, która otrzymała jednorazowo środki, o których mowa w ust. 1, jest obowiązana do zwrotu otrzymanych środków wraz z odsetkami, w wysokości określonej jak dla zaległości podatkowych, jeżeli z przyczyn leżących po jej stronie zostały naruszone warunki umowy, o której mowa w ust. 1.</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warunki oraz tryb przyznawania i zwrotu środków, o których mowa w ust. 1,</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formy zabezpieczenia zwrotu środków, o których mowa w ust. 1, w przypadku naruszenia warunków umowy dotyczącej ich przyznania,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wzór wniosku i niezbędne elementy umowy dotyczącej przyznania środków określonych w ust. 1</w:t>
      </w:r>
    </w:p>
    <w:p>
      <w:pPr>
        <w:spacing w:before="25" w:after="0"/>
        <w:ind w:left="0"/>
        <w:jc w:val="both"/>
        <w:textAlignment w:val="auto"/>
      </w:pPr>
      <w:r>
        <w:rPr>
          <w:rFonts w:ascii="Times New Roman"/>
          <w:b w:val="false"/>
          <w:i w:val="false"/>
          <w:color w:val="000000"/>
          <w:sz w:val="22"/>
          <w:lang w:val="pl-Pl"/>
        </w:rPr>
        <w:t>- mając na względzie zwiększenie aktywności zawodowej osób niepełnosprawnych, zapewnienie zgodności udzielanej pomocy z regułami przyznawania pomocy publicznej w ramach zasady de minimis oraz racjonalne gospodarowanie środkami Funduszu.</w:t>
      </w:r>
    </w:p>
    <w:p>
      <w:pPr>
        <w:spacing w:before="80" w:after="0"/>
        <w:ind w:left="0"/>
        <w:jc w:val="left"/>
        <w:textAlignment w:val="auto"/>
      </w:pPr>
      <w:r>
        <w:rPr>
          <w:rFonts w:ascii="Times New Roman"/>
          <w:b/>
          <w:i w:val="false"/>
          <w:color w:val="000000"/>
          <w:sz w:val="22"/>
          <w:lang w:val="pl-Pl"/>
        </w:rPr>
        <w:t xml:space="preserve">Art. 13. </w:t>
      </w:r>
      <w:r>
        <w:rPr>
          <w:rFonts w:ascii="Times New Roman"/>
          <w:b/>
          <w:i w:val="false"/>
          <w:color w:val="000000"/>
          <w:sz w:val="22"/>
          <w:lang w:val="pl-Pl"/>
        </w:rPr>
        <w:t xml:space="preserve"> [Dofinansowanie działalności gospodarczej]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Osoba niepełnosprawna prowadząca działalność gospodarczą albo własne lub dzierżawione gospodarstwo rolne może otrzymać, ze środków Funduszu, dofinansowanie do wysokości 50% oprocentowania kredytu bankowego zaciągniętego na kontynuowanie tej działalności, jeżeli: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nie korzystała z pożyczki na podjęcie działalności gospodarczej lub rolniczej albo pożyczka została w całości spłacona lub umorzona;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nie otrzymała bezzwrotnych środków na podjęcie działalności gospodarczej lub rolniczej albo prowadziła tę działalność co najmniej przez 24 miesiące od dnia otrzymania pomocy na ten cel.</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Dofinansowanie następuje na podstawie umowy zawartej przez starostę z osobą, o której mowa w ust. 1.</w:t>
      </w:r>
    </w:p>
    <w:p>
      <w:pPr>
        <w:spacing w:before="80" w:after="0"/>
        <w:ind w:left="0"/>
        <w:jc w:val="left"/>
        <w:textAlignment w:val="auto"/>
      </w:pPr>
      <w:r>
        <w:rPr>
          <w:rFonts w:ascii="Times New Roman"/>
          <w:b/>
          <w:i w:val="false"/>
          <w:color w:val="000000"/>
          <w:sz w:val="22"/>
          <w:lang w:val="pl-Pl"/>
        </w:rPr>
        <w:t xml:space="preserve">Art. 14. </w:t>
      </w:r>
      <w:r>
        <w:rPr>
          <w:rFonts w:ascii="Times New Roman"/>
          <w:b/>
          <w:i w:val="false"/>
          <w:color w:val="000000"/>
          <w:sz w:val="22"/>
          <w:lang w:val="pl-Pl"/>
        </w:rPr>
        <w:t xml:space="preserve"> [Stanowisko pracy osoby niepełnosprawnej]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Osobie zatrudnionej, która w wyniku wypadku przy pracy lub choroby zawodowej utraciła zdolność do pracy na dotychczasowym stanowisku, pracodawca jest obowiązany wydzielić lub zorganizować odpowiednie stanowisko pracy z podstawowym zapleczem socjalnym, nie później niż w okresie trzech miesięcy od daty zgłoszenia przez tę osobę gotowości przystąpienia do pracy. Zgłoszenie gotowości przystąpienia do pracy powinno nastąpić w ciągu miesiąca od dnia uznania za osobę niepełnosprawną.</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Przepisu ust. 1 nie stosuje się, gdy wyłączną przyczyną wypadku przy pracy było naruszenie przepisów w zakresie bezpieczeństwa i higieny pracy przez pracownika z jego winy lub jego stanu nietrzeźwości - udowodnione przez pracodawcę.</w:t>
      </w:r>
    </w:p>
    <w:p>
      <w:pPr>
        <w:spacing w:before="80" w:after="0"/>
        <w:ind w:left="0"/>
        <w:jc w:val="left"/>
        <w:textAlignment w:val="auto"/>
      </w:pPr>
      <w:r>
        <w:rPr>
          <w:rFonts w:ascii="Times New Roman"/>
          <w:b/>
          <w:i w:val="false"/>
          <w:color w:val="000000"/>
          <w:sz w:val="22"/>
          <w:lang w:val="pl-Pl"/>
        </w:rPr>
        <w:t xml:space="preserve">Art. 15. </w:t>
      </w:r>
      <w:r>
        <w:rPr>
          <w:rFonts w:ascii="Times New Roman"/>
          <w:b/>
          <w:i w:val="false"/>
          <w:color w:val="000000"/>
          <w:sz w:val="22"/>
          <w:lang w:val="pl-Pl"/>
        </w:rPr>
        <w:t xml:space="preserve"> [Czas pracy osoby niepełnosprawnej]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Czas pracy osoby niepełnosprawnej nie może przekraczać 8 godzin na dobę i 40 godzin tygodniowo.</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Czas pracy osoby niepełnosprawnej zaliczonej do znacznego lub umiarkowanego stopnia niepełnosprawności nie może przekraczać 7 godzin na dobę i 35 godzin tygodniowo.</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Osoba niepełnosprawna nie może być zatrudniona w porze nocnej i w godzinach nadliczbowych.</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16. </w:t>
      </w:r>
      <w:r>
        <w:rPr>
          <w:rFonts w:ascii="Times New Roman"/>
          <w:b/>
          <w:i w:val="false"/>
          <w:color w:val="000000"/>
          <w:sz w:val="22"/>
          <w:lang w:val="pl-Pl"/>
        </w:rPr>
        <w:t xml:space="preserve"> [Czas pracy – wyłączenia]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Przepisów art. 15 nie stosuje się:</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 osób zatrudnionych przy pilnowaniu oraz</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gdy, na wniosek osoby zatrudnionej, lekarz przeprowadzający badania profilaktyczne pracowników lub w razie jego braku lekarz sprawujący opiekę nad tą osobą wyrazi na to zgodę.</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Koszty badań, o których mowa w ust. 1 pkt 2, ponosi pracodawca.</w:t>
      </w:r>
    </w:p>
    <w:p>
      <w:pPr>
        <w:spacing w:before="80" w:after="0"/>
        <w:ind w:left="0"/>
        <w:jc w:val="left"/>
        <w:textAlignment w:val="auto"/>
      </w:pPr>
      <w:r>
        <w:rPr>
          <w:rFonts w:ascii="Times New Roman"/>
          <w:b/>
          <w:i w:val="false"/>
          <w:color w:val="000000"/>
          <w:sz w:val="22"/>
          <w:lang w:val="pl-Pl"/>
        </w:rPr>
        <w:t xml:space="preserve">Art. 17. </w:t>
      </w:r>
      <w:r>
        <w:rPr>
          <w:rFonts w:ascii="Times New Roman"/>
          <w:b/>
          <w:i w:val="false"/>
          <w:color w:val="000000"/>
          <w:sz w:val="22"/>
          <w:lang w:val="pl-Pl"/>
        </w:rPr>
        <w:t xml:space="preserve"> [Przerwy w pracy]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Osoba niepełnosprawna ma prawo do dodatkowej przerwy w pracy na gimnastykę usprawniającą lub wypoczynek. Czas przerwy wynosi 15 minut i jest wliczany do czasu pracy. Nie narusza to przepisu </w:t>
      </w:r>
      <w:r>
        <w:rPr>
          <w:rFonts w:ascii="Times New Roman"/>
          <w:b w:val="false"/>
          <w:i w:val="false"/>
          <w:color w:val="1b1b1b"/>
          <w:sz w:val="22"/>
          <w:lang w:val="pl-Pl"/>
        </w:rPr>
        <w:t>art. 134</w:t>
      </w:r>
      <w:r>
        <w:rPr>
          <w:rFonts w:ascii="Times New Roman"/>
          <w:b w:val="false"/>
          <w:i w:val="false"/>
          <w:color w:val="000000"/>
          <w:sz w:val="22"/>
          <w:lang w:val="pl-Pl"/>
        </w:rPr>
        <w:t xml:space="preserve"> ustawy z dnia 26 czerwca 1974 r. - Kodeks pracy (Dz. U. z 2018 r. poz. 108, 4, 138 i 305).</w:t>
      </w:r>
    </w:p>
    <w:p>
      <w:pPr>
        <w:spacing w:before="80" w:after="0"/>
        <w:ind w:left="0"/>
        <w:jc w:val="left"/>
        <w:textAlignment w:val="auto"/>
      </w:pPr>
      <w:r>
        <w:rPr>
          <w:rFonts w:ascii="Times New Roman"/>
          <w:b/>
          <w:i w:val="false"/>
          <w:color w:val="000000"/>
          <w:sz w:val="22"/>
          <w:lang w:val="pl-Pl"/>
        </w:rPr>
        <w:t xml:space="preserve">Art. 18. </w:t>
      </w:r>
      <w:r>
        <w:rPr>
          <w:rFonts w:ascii="Times New Roman"/>
          <w:b/>
          <w:i w:val="false"/>
          <w:color w:val="000000"/>
          <w:sz w:val="22"/>
          <w:lang w:val="pl-Pl"/>
        </w:rPr>
        <w:t xml:space="preserve"> [Wynagrodzenie osoby niepełnosprawnej]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Stosowanie norm czasu pracy, o których mowa w art. 15, nie powoduje obniżenia wysokości wynagrodzenia wypłacanego w stałej miesięcznej wysokości.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Godzinowe stawki wynagrodzenia zasadniczego, odpowiadające osobistemu zaszeregowaniu lub zaszeregowaniu wykonywanej pracy, przy przejściu na normy czasu pracy, o których mowa w art. 15, ulegają podwyższeniu w stosunku, w jakim pozostaje dotychczasowy wymiar czasu pracy do tych norm.</w:t>
      </w:r>
    </w:p>
    <w:p>
      <w:pPr>
        <w:spacing w:before="80" w:after="0"/>
        <w:ind w:left="0"/>
        <w:jc w:val="left"/>
        <w:textAlignment w:val="auto"/>
      </w:pPr>
      <w:r>
        <w:rPr>
          <w:rFonts w:ascii="Times New Roman"/>
          <w:b/>
          <w:i w:val="false"/>
          <w:color w:val="000000"/>
          <w:sz w:val="22"/>
          <w:lang w:val="pl-Pl"/>
        </w:rPr>
        <w:t xml:space="preserve">Art. 19. </w:t>
      </w:r>
      <w:r>
        <w:rPr>
          <w:rFonts w:ascii="Times New Roman"/>
          <w:b/>
          <w:i w:val="false"/>
          <w:color w:val="000000"/>
          <w:sz w:val="22"/>
          <w:lang w:val="pl-Pl"/>
        </w:rPr>
        <w:t xml:space="preserve"> [Dodatkowy urlop wypoczynkowy]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Osobie zaliczonej do znacznego lub umiarkowanego stopnia niepełnosprawności przysługuje dodatkowy urlop wypoczynkowy w wymiarze 10 dni roboczych w roku kalendarzowym. Prawo do pierwszego urlopu dodatkowego osoba ta nabywa po przepracowaniu jednego roku po dniu zaliczenia jej do jednego z tych stopni niepełnosprawności.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Urlop, o którym mowa w ust. 1, nie przysługuje osobie uprawnionej do urlopu wypoczynkowego w wymiarze przekraczającym 26 dni roboczych lub do urlopu dodatkowego na podstawie odrębnych przepisów.</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Jeżeli wymiar urlopu dodatkowego, o którym mowa w ust. 2, jest niższy niż 10 dni roboczych, zamiast tego urlopu przysługuje urlop dodatkowy określony w ust. 1.</w:t>
      </w:r>
    </w:p>
    <w:p>
      <w:pPr>
        <w:spacing w:before="80" w:after="0"/>
        <w:ind w:left="0"/>
        <w:jc w:val="left"/>
        <w:textAlignment w:val="auto"/>
      </w:pPr>
      <w:r>
        <w:rPr>
          <w:rFonts w:ascii="Times New Roman"/>
          <w:b/>
          <w:i w:val="false"/>
          <w:color w:val="000000"/>
          <w:sz w:val="22"/>
          <w:lang w:val="pl-Pl"/>
        </w:rPr>
        <w:t xml:space="preserve">Art. 20. </w:t>
      </w:r>
      <w:r>
        <w:rPr>
          <w:rFonts w:ascii="Times New Roman"/>
          <w:b/>
          <w:i w:val="false"/>
          <w:color w:val="000000"/>
          <w:sz w:val="22"/>
          <w:lang w:val="pl-Pl"/>
        </w:rPr>
        <w:t xml:space="preserve"> [Udzielanie zwolnień od pracy]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Osoba o znacznym lub umiarkowanym stopniu niepełnosprawności ma prawo do zwolnienia od pracy z zachowaniem prawa do wynagrodzenia: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wymiarze do 21 dni roboczych w celu uczestniczenia w turnusie rehabilitacyjnym, nie częściej niż raz w roku, z zastrzeżeniem art. 10f ust. 1 pkt 2;</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celu wykonania badań specjalistycznych, zabiegów leczniczych lub usprawniających, a także w celu uzyskania zaopatrzenia ortopedycznego lub jego naprawy, jeżeli czynności te nie mogą być wykonane poza godzinami pracy.</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Wynagrodzenie za czas zwolnień od pracy, o których mowa w ust. 1, oblicza się jak ekwiwalent pieniężny za urlop wypoczynkowy.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Łączny wymiar urlopu określonego w art. 19 ust. 1 i zwolnienia od pracy, o którym mowa w ust. 1 pkt 1, nie może przekroczyć 21 dni roboczych w roku kalendarzowym.</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Minister właściwy do spraw zabezpieczenia społecznego określi, w drodze rozporządzenia, szczegółowe zasady udzielania zwolnień od pracy, o których mowa w ust. 1 pkt 1.</w:t>
      </w:r>
    </w:p>
    <w:p>
      <w:pPr>
        <w:spacing w:before="80" w:after="0"/>
        <w:ind w:left="0"/>
        <w:jc w:val="left"/>
        <w:textAlignment w:val="auto"/>
      </w:pPr>
      <w:r>
        <w:rPr>
          <w:rFonts w:ascii="Times New Roman"/>
          <w:b/>
          <w:i w:val="false"/>
          <w:color w:val="000000"/>
          <w:sz w:val="22"/>
          <w:lang w:val="pl-Pl"/>
        </w:rPr>
        <w:t xml:space="preserve">Art. 20a. </w:t>
      </w:r>
      <w:r>
        <w:rPr>
          <w:rFonts w:ascii="Times New Roman"/>
          <w:b/>
          <w:i w:val="false"/>
          <w:color w:val="000000"/>
          <w:sz w:val="22"/>
          <w:lang w:val="pl-Pl"/>
        </w:rPr>
        <w:t xml:space="preserve"> [Osoba niepełnosprawna z psem asystującym]</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Osoba niepełnosprawna wraz z psem asystującym ma prawo wstępu:</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 obiektów użyteczności publicznej, w szczególności: budynków i ich otoczenia przeznaczonych na potrzeby administracji publicznej, wymiaru sprawiedliwości, kultury, oświaty, szkolnictwa wyższego, nauki, opieki zdrowotnej, opieki społecznej i socjalnej, obsługi bankowej, handlu, gastronomii, usług, turystyki, sportu, obsługi pasażerów w transporcie kolejowym, drogowym, lotniczym, morskim lub wodnym śródlądowym, świadczenia usług pocztowych lub telekomunikacyjnych oraz innych ogólnodostępnych budynków przeznaczonych do wykonywania podobnych funkcji, w tym także budynków biurowych i socjalnych;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 parków narodowych i rezerwatów przyrody;</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na plaże i kąpieliska.</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Uprawnienie, o którym mowa w ust. 1, przysługuje również w środkach transportu kolejowego, drogowego, lotniczego i wodnego oraz w innych środkach komunikacji publicznej.</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Uprawnienie, o którym mowa w ust. 1 i 2, nie zwalnia osoby niepełnosprawnej z odpowiedzialności za szkody wyrządzone przez psa asystującego.</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Warunkiem skorzystania z uprawnienia, o którym mowa w ust. 1 i 2, jest wyposażenie psa asystującego w uprząż oraz posiadanie przez osobę niepełnosprawną certyfikatu potwierdzającego status psa asystującego i zaświadczenia o wykonaniu wymaganych szczepień weterynaryjnych.</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Z uprawnienia, o którym mowa w ust. 1 i 2, może korzystać trener psa szkolonego na psa asystującego na podstawie zaświadczenia wydanego przez podmiot prowadzący szkolenie psów asystujących. Przepisy ust. 4 i 6 stosuje się odpowiednio.</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Osoba niepełnosprawna nie jest zobowiązana do zakładania psu asystującemu kagańca oraz prowadzenia go na smyczy.</w:t>
      </w:r>
    </w:p>
    <w:p>
      <w:pPr>
        <w:spacing w:before="80" w:after="0"/>
        <w:ind w:left="0"/>
        <w:jc w:val="left"/>
        <w:textAlignment w:val="auto"/>
      </w:pPr>
      <w:r>
        <w:rPr>
          <w:rFonts w:ascii="Times New Roman"/>
          <w:b/>
          <w:i w:val="false"/>
          <w:color w:val="000000"/>
          <w:sz w:val="22"/>
          <w:lang w:val="pl-Pl"/>
        </w:rPr>
        <w:t xml:space="preserve">Art. 20b. </w:t>
      </w:r>
      <w:r>
        <w:rPr>
          <w:rFonts w:ascii="Times New Roman"/>
          <w:b/>
          <w:i w:val="false"/>
          <w:color w:val="000000"/>
          <w:sz w:val="22"/>
          <w:lang w:val="pl-Pl"/>
        </w:rPr>
        <w:t xml:space="preserve"> [Osoba niepełnosprawna z psem asystującym]</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Status psa asystującego potwierdza certyfikat wydawany po odbyciu odpowiedniego szkolenia.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Certyfikat wydaje uprawniony do tego podmiot prowadzący szkolenie psów asystujących, wpisany do rejestru podmiotów uprawnionych do wydawania certyfikatów.</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Koszty wydania certyfikatu finansowane są ze środków Funduszu na wniosek podmiotu uprawnionego do wydawania certyfikatów.</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Rejestr, o którym mowa w ust. 2, prowadzi Pełnomocnik.</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Wpis do rejestru dokonywany jest na wniosek podmiotu prowadzącego szkolenie psów asystujących.</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Pełnomocnik zawiadamia podmiot, który złożył wniosek o wpis do rejestru, o wpisie lub odmowie dokonania wpisu do rejestru.</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Pełnomocnik może przeprowadzać kontrolę podmiotów uprawnionych do wydawania certyfikatów w zakresie spełniania warunków określonych w przepisach wydanych na podstawie ust. 9.</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Pełnomocnik dokonuje wykreślenia z rejestru w przypadku niespełniania warunków określonych w przepisach wydanych na podstawie ust. 9, o czym zawiadamia podmiot wykreślony.</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Minister właściwy do spraw zabezpieczenia społecznego, mając na uwadze sprawność szkolenia i certyfikacji,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rodzaje psów asystujących, dla których możliwe jest wydawanie certyfikatów;</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warunki, jakie powinny spełniać podmioty uprawnione do wydawania certyfikatów oraz sposób oceny spełniania tych warunków;</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tryb składania i rozpatrywania wniosków o finansowanie kosztów wydawania certyfikatów, wysokość oraz sposób przyznawania i przekazywania środków Funduszu na ten cel;</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tryb składania i rozpatrywania wniosków o wpis do rejestru podmiotów uprawnionych do wydawania certyfikatów;</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sposób dokonywania wpisu i zmian w rejestrze podmiotów uprawnionych do wydawania certyfikatów, zakres danych objętych rejestrem oraz sposób prowadzenia tego rejestru;</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wzory wniosków, o których mowa w pkt 3 i 4 oraz zawiadomień o wpisie, odmowie dokonania wpisu, a także o wykreśleniu z rejestru podmiotów uprawnionych do wydawania certyfikatów;</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sposób oznaczania psów asystujących i psów w trakcie szkolenia.</w:t>
      </w:r>
    </w:p>
    <w:p>
      <w:pPr>
        <w:spacing w:before="80" w:after="0"/>
        <w:ind w:left="0"/>
        <w:jc w:val="left"/>
        <w:textAlignment w:val="auto"/>
      </w:pPr>
      <w:r>
        <w:rPr>
          <w:rFonts w:ascii="Times New Roman"/>
          <w:b/>
          <w:i w:val="false"/>
          <w:color w:val="000000"/>
          <w:sz w:val="22"/>
          <w:lang w:val="pl-Pl"/>
        </w:rPr>
        <w:t xml:space="preserve">Art. 20c. </w:t>
      </w:r>
      <w:r>
        <w:rPr>
          <w:rFonts w:ascii="Times New Roman"/>
          <w:b/>
          <w:i w:val="false"/>
          <w:color w:val="000000"/>
          <w:sz w:val="22"/>
          <w:lang w:val="pl-Pl"/>
        </w:rPr>
        <w:t xml:space="preserve"> [Powstanie prawa do uprawnień pracowniczych osoby niepełnosprawnej]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Osobie niepełnosprawnej przysługują uprawnienia pracownicze określone w niniejszym rozdziale odpowiednio od dnia, od którego osoba niepełnosprawna została wliczona do stanu zatrudnienia osób niepełnosprawnych na podstawie art. 2a.</w:t>
      </w:r>
    </w:p>
    <w:p>
      <w:pPr>
        <w:spacing w:before="80" w:after="0"/>
        <w:ind w:left="0"/>
        <w:jc w:val="left"/>
        <w:textAlignment w:val="auto"/>
      </w:pPr>
      <w:r>
        <w:rPr>
          <w:rFonts w:ascii="Times New Roman"/>
          <w:b/>
          <w:i w:val="false"/>
          <w:color w:val="000000"/>
          <w:sz w:val="22"/>
          <w:lang w:val="pl-Pl"/>
        </w:rPr>
        <w:t xml:space="preserve">Art. 20d. </w:t>
      </w:r>
      <w:r>
        <w:rPr>
          <w:rFonts w:ascii="Times New Roman"/>
          <w:b/>
          <w:i w:val="false"/>
          <w:color w:val="000000"/>
          <w:sz w:val="22"/>
          <w:lang w:val="pl-Pl"/>
        </w:rPr>
        <w:t xml:space="preserve"> [Karty parkingowe]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Osoba niepełnosprawna, o której mowa w </w:t>
      </w:r>
      <w:r>
        <w:rPr>
          <w:rFonts w:ascii="Times New Roman"/>
          <w:b w:val="false"/>
          <w:i w:val="false"/>
          <w:color w:val="1b1b1b"/>
          <w:sz w:val="22"/>
          <w:lang w:val="pl-Pl"/>
        </w:rPr>
        <w:t>art. 8 ust. 3a</w:t>
      </w:r>
      <w:r>
        <w:rPr>
          <w:rFonts w:ascii="Times New Roman"/>
          <w:b w:val="false"/>
          <w:i w:val="false"/>
          <w:color w:val="000000"/>
          <w:sz w:val="22"/>
          <w:lang w:val="pl-Pl"/>
        </w:rPr>
        <w:t xml:space="preserve"> ustawy z dnia 20 czerwca 1997 r. - Prawo o ruchu drogowym, jest zwolniona z opłaty związanej z korzystaniem z drogi publicznej lub drogi wewnętrznej umożliwiających dojazd bezpośrednio do obiektów użyteczności publicznej, w szczególności budynków przeznaczonych na potrzeby administracji publicznej, wymiaru sprawiedliwości, kultury, kultu religijnego, oświaty, szkolnictwa wyższego, nauki, opieki zdrowotnej, opieki społecznej i socjalnej, obsługi bankowej, handlu, gastronomii, usług, turystyki, sportu, obsługi pasażerów w transporcie kolejowym, drogowym, lotniczym lub wodnym, świadczenia usług pocztowych lub telekomunikacyjnych oraz innych ogólnodostępnych budynków, przeznaczonych do wykonywania podobnych funkcji, w tym także budynków biurowych i socjalnych.</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Zwolnienie, o którym mowa w ust. 1, nie obejmuje prawa do bezpłatnego: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parkowania;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korzystania z autostrad płatnych;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przejazdu po drogach krajowych pojazdów samochodowych oraz zespołów pojazdów, składających się z pojazdu samochodowego oraz przyczepy lub naczepy o dopuszczalnej masie całkowitej powyżej 3,5 tony, w tym autobusów niezależnie od ich dopuszczalnej masy całkowitej;</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przejazdu przez obiekty mostowe i tunele zlokalizowane w ciągach dróg publicznych.</w:t>
      </w:r>
    </w:p>
    <w:p>
      <w:pPr>
        <w:spacing w:before="146" w:after="0"/>
        <w:ind w:left="0"/>
        <w:jc w:val="center"/>
        <w:textAlignment w:val="auto"/>
      </w:pPr>
      <w:r>
        <w:rPr>
          <w:rFonts w:ascii="Times New Roman"/>
          <w:b/>
          <w:i w:val="false"/>
          <w:color w:val="000000"/>
          <w:sz w:val="22"/>
          <w:lang w:val="pl-Pl"/>
        </w:rPr>
        <w:t xml:space="preserve">Rozdział 5 </w:t>
      </w:r>
    </w:p>
    <w:p>
      <w:pPr>
        <w:spacing w:before="25" w:after="0"/>
        <w:ind w:left="0"/>
        <w:jc w:val="center"/>
        <w:textAlignment w:val="auto"/>
      </w:pPr>
      <w:r>
        <w:rPr>
          <w:rFonts w:ascii="Times New Roman"/>
          <w:b/>
          <w:i w:val="false"/>
          <w:color w:val="000000"/>
          <w:sz w:val="22"/>
          <w:lang w:val="pl-Pl"/>
        </w:rPr>
        <w:t>Szczególne obowiązki i uprawnienia pracodawców w związku z zatrudnianiem osób niepełnosprawnych</w:t>
      </w:r>
    </w:p>
    <w:p>
      <w:pPr>
        <w:spacing w:before="80" w:after="0"/>
        <w:ind w:left="0"/>
        <w:jc w:val="left"/>
        <w:textAlignment w:val="auto"/>
      </w:pPr>
      <w:r>
        <w:rPr>
          <w:rFonts w:ascii="Times New Roman"/>
          <w:b/>
          <w:i w:val="false"/>
          <w:color w:val="000000"/>
          <w:sz w:val="22"/>
          <w:lang w:val="pl-Pl"/>
        </w:rPr>
        <w:t xml:space="preserve">Art. 21. </w:t>
      </w:r>
      <w:r>
        <w:rPr>
          <w:rFonts w:ascii="Times New Roman"/>
          <w:b/>
          <w:i w:val="false"/>
          <w:color w:val="000000"/>
          <w:sz w:val="22"/>
          <w:lang w:val="pl-Pl"/>
        </w:rPr>
        <w:t xml:space="preserve"> [Wpłaty na PFRON]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Pracodawca zatrudniający co najmniej 25 pracowników w przeliczeniu na pełny wymiar czasu pracy jest obowiązany, z zastrzeżeniem ust. 2-5 i art. 22, dokonywać miesięcznych wpłat na Fundusz, w wysokości kwoty stanowiącej iloczyn 40,65% przeciętnego wynagrodzenia i liczby pracowników odpowiadającej różnicy między zatrudnieniem zapewniającym osiągnięcie wskaźnika zatrudnienia osób niepełnosprawnych w wysokości 6% a rzeczywistym zatrudnieniem osób niepełnosprawnych.</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 wpłat, o których mowa w ust. 1, zwolnieni są pracodawcy, u których wskaźnik zatrudnienia osób niepełnosprawnych wynosi co najmniej 6%.</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Dla państwowych i samorządowych jednostek organizacyjnych będących jednostkami budżetowymi, zakładami budżetowymi albo gospodarstwami pomocniczymi, instytucji kultury oraz jednostek organizacyjnych zajmujących się statutowo ochroną dóbr kultury uznanych za pomnik historii wskaźnik zatrudnienia osób niepełnosprawnych, o którym mowa w ust. 1 i ust. 2, wynosi 2%, 3% w 2005 r., 4% w 2006 r., 5% w 2007 r. i 6% w 2008 r. oraz w latach następnych.</w:t>
      </w:r>
    </w:p>
    <w:p>
      <w:pPr>
        <w:spacing w:before="26" w:after="0"/>
        <w:ind w:left="0"/>
        <w:jc w:val="left"/>
        <w:textAlignment w:val="auto"/>
      </w:pPr>
      <w:r>
        <w:rPr>
          <w:rFonts w:ascii="Times New Roman"/>
          <w:b w:val="false"/>
          <w:i w:val="false"/>
          <w:color w:val="000000"/>
          <w:sz w:val="22"/>
          <w:lang w:val="pl-Pl"/>
        </w:rPr>
        <w:t xml:space="preserve">2b. </w:t>
      </w:r>
      <w:r>
        <w:rPr>
          <w:rFonts w:ascii="Times New Roman"/>
          <w:b w:val="false"/>
          <w:i w:val="false"/>
          <w:color w:val="000000"/>
          <w:sz w:val="22"/>
          <w:vertAlign w:val="superscript"/>
          <w:lang w:val="pl-Pl"/>
        </w:rPr>
        <w:t>20</w:t>
      </w:r>
      <w:r>
        <w:rPr>
          <w:rFonts w:ascii="Times New Roman"/>
          <w:b w:val="false"/>
          <w:i w:val="false"/>
          <w:color w:val="000000"/>
          <w:sz w:val="22"/>
          <w:lang w:val="pl-Pl"/>
        </w:rPr>
        <w:t xml:space="preserve"> </w:t>
      </w:r>
      <w:r>
        <w:rPr>
          <w:rFonts w:ascii="Times New Roman"/>
          <w:b w:val="false"/>
          <w:i w:val="false"/>
          <w:color w:val="000000"/>
          <w:sz w:val="22"/>
          <w:lang w:val="pl-Pl"/>
        </w:rPr>
        <w:t xml:space="preserve"> Dla publicznych i niepublicznych uczelni, publicznych i niepublicznych szkół, publicznych i niepublicznych przedszkoli, publicznych i niepublicznych innych form wychowania przedszkolnego oraz placówek opiekuńczo-wychowawczych, regionalnych placówek opiekuńczo-terapeutycznych, interwencyjnych ośrodków preadopcyjnych, placówek resocjalizacyjnych, publicznych i niepublicznych żłobków, a także klubów dziecięcych wskaźnik zatrudnienia osób niepełnosprawnych, o którym mowa w ust. 1 i 2, wynosi 2%.</w:t>
      </w:r>
    </w:p>
    <w:p>
      <w:pPr>
        <w:spacing w:before="26" w:after="0"/>
        <w:ind w:left="0"/>
        <w:jc w:val="left"/>
        <w:textAlignment w:val="auto"/>
      </w:pPr>
      <w:r>
        <w:rPr>
          <w:rFonts w:ascii="Times New Roman"/>
          <w:b w:val="false"/>
          <w:i w:val="false"/>
          <w:color w:val="000000"/>
          <w:sz w:val="22"/>
          <w:lang w:val="pl-Pl"/>
        </w:rPr>
        <w:t xml:space="preserve">2c. </w:t>
      </w:r>
      <w:r>
        <w:rPr>
          <w:rFonts w:ascii="Times New Roman"/>
          <w:b w:val="false"/>
          <w:i w:val="false"/>
          <w:color w:val="000000"/>
          <w:sz w:val="22"/>
          <w:lang w:val="pl-Pl"/>
        </w:rPr>
        <w:t>Wskaźnik zatrudnienia osób niepełnosprawnych w jednostkach, o których mowa w ust. 2b, oblicza się jako sumę wskaźnika zatrudnienia osób niepełnosprawnych i podwojonego wskaźnika dzieci, wychowanków, uczniów, studentów lub słuchaczy będących osobami niepełnosprawnymi i uczących się lub studiujących w ramach ogólnie obowiązujących w danej jednostce regulaminów nauczania lub studiowania.</w:t>
      </w:r>
    </w:p>
    <w:p>
      <w:pPr>
        <w:spacing w:before="26" w:after="0"/>
        <w:ind w:left="0"/>
        <w:jc w:val="left"/>
        <w:textAlignment w:val="auto"/>
      </w:pPr>
      <w:r>
        <w:rPr>
          <w:rFonts w:ascii="Times New Roman"/>
          <w:b w:val="false"/>
          <w:i w:val="false"/>
          <w:color w:val="000000"/>
          <w:sz w:val="22"/>
          <w:lang w:val="pl-Pl"/>
        </w:rPr>
        <w:t xml:space="preserve">2d. </w:t>
      </w:r>
      <w:r>
        <w:rPr>
          <w:rFonts w:ascii="Times New Roman"/>
          <w:b w:val="false"/>
          <w:i w:val="false"/>
          <w:color w:val="000000"/>
          <w:sz w:val="22"/>
          <w:lang w:val="pl-Pl"/>
        </w:rPr>
        <w:t>Wskaźnik dzieci, wychowanków, uczniów, studentów lub słuchaczy niepełnosprawnych, o którym mowa w ust. 2c, oznacza ich udział procentowy w liczbie ogółem odpowiednio dzieci, wychowanków, uczniów, studentów lub słuchaczy, według stanu w roku ubiegłym.</w:t>
      </w:r>
    </w:p>
    <w:p>
      <w:pPr>
        <w:spacing w:before="26" w:after="0"/>
        <w:ind w:left="0"/>
        <w:jc w:val="left"/>
        <w:textAlignment w:val="auto"/>
      </w:pPr>
      <w:r>
        <w:rPr>
          <w:rFonts w:ascii="Times New Roman"/>
          <w:b w:val="false"/>
          <w:i w:val="false"/>
          <w:color w:val="000000"/>
          <w:sz w:val="22"/>
          <w:lang w:val="pl-Pl"/>
        </w:rPr>
        <w:t xml:space="preserve">2e. </w:t>
      </w:r>
      <w:r>
        <w:rPr>
          <w:rFonts w:ascii="Times New Roman"/>
          <w:b w:val="false"/>
          <w:i w:val="false"/>
          <w:color w:val="000000"/>
          <w:sz w:val="22"/>
          <w:lang w:val="pl-Pl"/>
        </w:rPr>
        <w:t>Z wpłat, o których mowa w ust. 1, zwolnione są niedziałające w celu osiągnięcia zysku:</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domy pomocy społecznej w rozumieniu przepisów o pomocy społecznej;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hospicja w rozumieniu przepisów o działalności leczniczej;</w:t>
      </w:r>
    </w:p>
    <w:p>
      <w:pPr>
        <w:spacing w:before="26" w:after="0"/>
        <w:ind w:left="373"/>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zakłady opiekuńczo-lecznicze;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publiczne i niepubliczne jednostki organizacyjne, których wyłącznym przedmiotem prowadzonej działalności jest rehabilitacja społeczna i lecznicza osób niepełnosprawnych, edukacja osób niepełnosprawnych lub opieka nad osobami niepełnosprawnymi.</w:t>
      </w:r>
    </w:p>
    <w:p>
      <w:pPr>
        <w:spacing w:before="26" w:after="0"/>
        <w:ind w:left="0"/>
        <w:jc w:val="left"/>
        <w:textAlignment w:val="auto"/>
      </w:pPr>
      <w:r>
        <w:rPr>
          <w:rFonts w:ascii="Times New Roman"/>
          <w:b w:val="false"/>
          <w:i w:val="false"/>
          <w:color w:val="000000"/>
          <w:sz w:val="22"/>
          <w:lang w:val="pl-Pl"/>
        </w:rPr>
        <w:t xml:space="preserve">2f. </w:t>
      </w:r>
      <w:r>
        <w:rPr>
          <w:rFonts w:ascii="Times New Roman"/>
          <w:b w:val="false"/>
          <w:i w:val="false"/>
          <w:color w:val="000000"/>
          <w:sz w:val="22"/>
          <w:lang w:val="pl-Pl"/>
        </w:rPr>
        <w:t>Pracodawcy osiągający wskaźniki zatrudnienia osób niepełnosprawnych, o których mowa w ust. 2, 2a i 2b, oraz jednostki organizacyjne, o których mowa w ust. 2e, składają Zarządowi Funduszu informacje miesięczne i roczne odpowiednio o zatrudnieniu osób niepełnosprawnych, o zatrudnieniu i kształceniu osób niepełnosprawnych lub o działalności na rzecz osób niepełnosprawnych według wzoru ustalonego, w drodze rozporządzenia, przez ministra właściwego do spraw zabezpieczenia społecznego. Informacja miesięczna składana jest w terminie do dnia 20 miesiąca następującego po miesiącu, którego dotyczy informacja, a informacja roczna - do 20 stycznia za rok poprzedni.</w:t>
      </w:r>
    </w:p>
    <w:p>
      <w:pPr>
        <w:spacing w:before="26" w:after="0"/>
        <w:ind w:left="0"/>
        <w:jc w:val="left"/>
        <w:textAlignment w:val="auto"/>
      </w:pPr>
      <w:r>
        <w:rPr>
          <w:rFonts w:ascii="Times New Roman"/>
          <w:b w:val="false"/>
          <w:i w:val="false"/>
          <w:color w:val="000000"/>
          <w:sz w:val="22"/>
          <w:lang w:val="pl-Pl"/>
        </w:rPr>
        <w:t>2f</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w:t>
      </w:r>
      <w:r>
        <w:rPr>
          <w:rFonts w:ascii="Times New Roman"/>
          <w:b w:val="false"/>
          <w:i w:val="false"/>
          <w:color w:val="000000"/>
          <w:sz w:val="22"/>
          <w:lang w:val="pl-Pl"/>
        </w:rPr>
        <w:t>Pracodawca składa miesięczne i roczne informacje, o których mowa w ust. 2f, poprzez teletransmisję danych w formie dokumentu elektronicznego.</w:t>
      </w:r>
    </w:p>
    <w:p>
      <w:pPr>
        <w:spacing w:before="26" w:after="0"/>
        <w:ind w:left="0"/>
        <w:jc w:val="left"/>
        <w:textAlignment w:val="auto"/>
      </w:pPr>
      <w:r>
        <w:rPr>
          <w:rFonts w:ascii="Times New Roman"/>
          <w:b w:val="false"/>
          <w:i w:val="false"/>
          <w:color w:val="000000"/>
          <w:sz w:val="22"/>
          <w:lang w:val="pl-Pl"/>
        </w:rPr>
        <w:t xml:space="preserve">2g. </w:t>
      </w:r>
      <w:r>
        <w:rPr>
          <w:rFonts w:ascii="Times New Roman"/>
          <w:b w:val="false"/>
          <w:i w:val="false"/>
          <w:color w:val="000000"/>
          <w:sz w:val="22"/>
          <w:lang w:val="pl-Pl"/>
        </w:rPr>
        <w:t>Pracodawcy, o których mowa w ust. 2a i 2b, nieosiągający wskaźników zatrudnienia osób niepełnosprawnych wymienionych w ust. 2a i 2b, dokonują wpłat na zasadach określonych w art. 49.</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vertAlign w:val="superscript"/>
          <w:lang w:val="pl-Pl"/>
        </w:rPr>
        <w:t>21</w:t>
      </w:r>
      <w:r>
        <w:rPr>
          <w:rFonts w:ascii="Times New Roman"/>
          <w:b w:val="false"/>
          <w:i w:val="false"/>
          <w:color w:val="000000"/>
          <w:sz w:val="22"/>
          <w:lang w:val="pl-Pl"/>
        </w:rPr>
        <w:t xml:space="preserve"> </w:t>
      </w:r>
      <w:r>
        <w:rPr>
          <w:rFonts w:ascii="Times New Roman"/>
          <w:b w:val="false"/>
          <w:i w:val="false"/>
          <w:color w:val="000000"/>
          <w:sz w:val="22"/>
          <w:lang w:val="pl-Pl"/>
        </w:rPr>
        <w:t xml:space="preserve"> Z wpłat, o których mowa w ust. 1, są zwolnieni pracodawcy, co do których ogłoszono upadłość.</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Wskaźnik, o którym mowa w ust. 2, może zostać obniżony w razie zatrudnienia osób niepełnosprawnych ze schorzeniami szczególnie utrudniającymi wykonywanie pracy.</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Do liczby pracowników, o której mowa w ust. 1, nie wlicza się osób niepełnosprawnych przebywających na urlopach bezpłatnych oraz osób niebędących osobami niepełnosprawnymi zatrudnionych:</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 podstawie umowy o pracę w celu przygotowania zawodowego;</w:t>
      </w:r>
    </w:p>
    <w:p>
      <w:pPr>
        <w:spacing w:before="26" w:after="0"/>
        <w:ind w:left="373"/>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przebywających na urlopie rodzicielskim;</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przebywających na urlopach wychowawczych;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nieświadczących pracy w związku z odbywaniem służby wojskowej albo służby zastępczej;</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będących uczestnikami Ochotniczych Hufców Pracy;</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nieświadczących pracy w związku z uzyskaniem świadczenia rehabilitacyjnego;</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przebywających na urlopach bezpłatnych, których obowiązek udzielenia określają odrębne ustawy.</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Obowiązek, o którym mowa w ust. 1, nie dotyczy: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placówek dyplomatycznych i urzędów konsularnych;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przedstawicielstw i misji zagranicznych.</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Minister właściwy do spraw zabezpieczenia społecznego, w porozumieniu z ministrem właściwym do spraw zdrowia, określi, w drodze rozporządzenia, rodzaje schorzeń uzasadniających obniżenie wskaźnika, o którym mowa w ust. 2, oraz sposób jego obniżania.</w:t>
      </w:r>
    </w:p>
    <w:p>
      <w:pPr>
        <w:spacing w:before="80" w:after="0"/>
        <w:ind w:left="0"/>
        <w:jc w:val="left"/>
        <w:textAlignment w:val="auto"/>
      </w:pPr>
      <w:r>
        <w:rPr>
          <w:rFonts w:ascii="Times New Roman"/>
          <w:b/>
          <w:i w:val="false"/>
          <w:color w:val="000000"/>
          <w:sz w:val="22"/>
          <w:lang w:val="pl-Pl"/>
        </w:rPr>
        <w:t xml:space="preserve">Art. 22. </w:t>
      </w:r>
      <w:r>
        <w:rPr>
          <w:rFonts w:ascii="Times New Roman"/>
          <w:b/>
          <w:i w:val="false"/>
          <w:color w:val="000000"/>
          <w:sz w:val="22"/>
          <w:lang w:val="pl-Pl"/>
        </w:rPr>
        <w:t xml:space="preserve"> [Obniżenie wpłat na PFRON]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Wpłaty na Fundusz, o których mowa w art. 21, ulegają obniżeniu z tytułu zakupu produkcji lub usługi, z wyłączeniem handlu, odpowiednio wytworzonej lub świadczonej przez pracodawcę zatrudniającego co najmniej 25 pracowników w przeliczeniu na pełny wymiar czasu pracy, który osiąga wskaźnik zatrudnienia osób niepełnosprawnych zaliczonych do: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znacznego stopnia niepełnosprawności lub</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umiarkowanego stopnia niepełnosprawności, w odniesieniu do których orzeczono chorobę psychiczną, upośledzenie umysłowe, całościowe zaburzenia rozwojowe lub epilepsję oraz niewidomych</w:t>
      </w:r>
    </w:p>
    <w:p>
      <w:pPr>
        <w:spacing w:before="25" w:after="0"/>
        <w:ind w:left="0"/>
        <w:jc w:val="both"/>
        <w:textAlignment w:val="auto"/>
      </w:pPr>
      <w:r>
        <w:rPr>
          <w:rFonts w:ascii="Times New Roman"/>
          <w:b w:val="false"/>
          <w:i w:val="false"/>
          <w:color w:val="000000"/>
          <w:sz w:val="22"/>
          <w:lang w:val="pl-Pl"/>
        </w:rPr>
        <w:t>- w wysokości co najmniej 30%, zwanego dalej "sprzedającym".</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vertAlign w:val="superscript"/>
          <w:lang w:val="pl-Pl"/>
        </w:rPr>
        <w:t>22</w:t>
      </w:r>
      <w:r>
        <w:rPr>
          <w:rFonts w:ascii="Times New Roman"/>
          <w:b w:val="false"/>
          <w:i w:val="false"/>
          <w:color w:val="000000"/>
          <w:sz w:val="22"/>
          <w:lang w:val="pl-Pl"/>
        </w:rPr>
        <w:t xml:space="preserve"> </w:t>
      </w:r>
      <w:r>
        <w:rPr>
          <w:rFonts w:ascii="Times New Roman"/>
          <w:b w:val="false"/>
          <w:i w:val="false"/>
          <w:color w:val="000000"/>
          <w:sz w:val="22"/>
          <w:lang w:val="pl-Pl"/>
        </w:rPr>
        <w:t xml:space="preserve"> Wraz z fakturą, o której mowa w ust. 2 pkt 1, sprzedający, który spełnił warunki określone w ust. 1, przekazuje nabywcy, jednokrotnie w danym roku, informację 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zasadach nabywania i korzystania z obniżenia wpłat;</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możliwości złożenia oświadczenia o rezygnacji z zamiaru korzystania z prawa do obniżenia wpłat;</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możliwości odwołania oświadczenia, o którym mowa w pkt 2.</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Warunkiem obniżenia wpłaty jest:</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udokumentowanie zakupu fakturą;</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uregulowanie należności za zakup produkcji lub usługi w terminie określonym na fakturze, z tym że w przypadku płatności dokonywanych za pośrednictwem banku za datę uregulowania należności uważa się datę obciążenia rachunku bankowego nabywcy na podstawie polecenia przelewu;</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udokumentowanie przez nabywcę kwoty obniżenia informacją o kwocie obniżenia wystawioną przez sprzedającego w terminie, o którym mowa w ust. 10 pkt 1.</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Obniżenie wpłaty przysługuje do wysokości 50% wpłaty na Fundusz, do której obowiązany jest nabywca w danym miesiącu.</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Przysługująca, a niewykorzystana kwota obniżenia może być uwzględniana we wpłatach na Fundusz przez okres nie dłuższy niż 6 miesięcy, licząc od dnia uzyskania informacji o kwocie obniżenia.</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vertAlign w:val="superscript"/>
          <w:lang w:val="pl-Pl"/>
        </w:rPr>
        <w:t>23</w:t>
      </w:r>
      <w:r>
        <w:rPr>
          <w:rFonts w:ascii="Times New Roman"/>
          <w:b w:val="false"/>
          <w:i w:val="false"/>
          <w:color w:val="000000"/>
          <w:sz w:val="22"/>
          <w:lang w:val="pl-Pl"/>
        </w:rPr>
        <w:t xml:space="preserve"> </w:t>
      </w:r>
      <w:r>
        <w:rPr>
          <w:rFonts w:ascii="Times New Roman"/>
          <w:b w:val="false"/>
          <w:i w:val="false"/>
          <w:color w:val="000000"/>
          <w:sz w:val="22"/>
          <w:lang w:val="pl-Pl"/>
        </w:rPr>
        <w:t xml:space="preserve"> Kwota obniżenia, o którym mowa w ust. 1:</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stanowi iloczyn wskaźnika wynagrodzeń niepełnosprawnych pracowników sprzedającego zaliczonych do znacznego lub umiarkowanego stopnia niepełnosprawności i wskaźnika udziału przychodów;</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nie może być wyższa niż 50% kwoty należności za zakup, o którym mowa w ust. 1, określonej na fakturze, o której mowa w ust. 2 pkt 1, pomniejszonej o kwotę podatku od towarów i usług, z uwzględnieniem korekt tej faktury.</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Wskaźnik wynagrodzeń niepełnosprawnych pracowników sprzedającego zaliczonych do znacznego lub umiarkowanego stopnia niepełnosprawności stanowi iloczyn współczynnika wynagrodzeń tych pracowników i liczby etatów odpowiadającej różnicy między rzeczywistym zatrudnieniem wszystkich pracowników niepełnosprawnych a zatrudnieniem zapewniającym osiągnięcie wskaźnika zatrudnienia osób niepełnosprawnych w wysokości 6%.</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Współczynnik wynagrodzeń niepełnosprawnych pracowników, o którym mowa w ust. 6, stanowi iloczyn najniższego wynagrodzenia pomniejszonego o należne składki na ubezpieczenia społeczne i ilorazu liczby pracowników o znacznym lub umiarkowanym stopniu niepełnosprawności w przeliczeniu na pełny wymiar czasu pracy oraz liczby pracowników niepełnosprawnych ogółem w przeliczeniu na pełny wymiar czasu pracy.</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Wskaźnik udziału przychodów stanowi iloraz przychodu ze sprzedaży własnej produkcji lub własnej usługi, z wyłączeniem handlu, odpowiednio wytworzonej lub świadczonej w danym miesiącu na rzecz nabywcy i przychodu ogółem uzyskanego w tym miesiącu ze sprzedaży własnej produkcji lub własnej usługi, z wyłączeniem handlu.</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vertAlign w:val="superscript"/>
          <w:lang w:val="pl-Pl"/>
        </w:rPr>
        <w:t>24</w:t>
      </w:r>
      <w:r>
        <w:rPr>
          <w:rFonts w:ascii="Times New Roman"/>
          <w:b w:val="false"/>
          <w:i w:val="false"/>
          <w:color w:val="000000"/>
          <w:sz w:val="22"/>
          <w:lang w:val="pl-Pl"/>
        </w:rPr>
        <w:t xml:space="preserve"> </w:t>
      </w:r>
      <w:r>
        <w:rPr>
          <w:rFonts w:ascii="Times New Roman"/>
          <w:b w:val="false"/>
          <w:i w:val="false"/>
          <w:color w:val="000000"/>
          <w:sz w:val="22"/>
          <w:lang w:val="pl-Pl"/>
        </w:rPr>
        <w:t xml:space="preserve"> Przy obliczaniu kwoty obniżenia bierze się pod uwagę wyłącznie zatrudnienie i wynagrodzenia pracowników zatrudnionych na podstawie umowy o pracę lub spółdzielczej umowy o pracę za miesiąc, do którego zaliczono przychody, o których mowa w ust. 8. Przy obliczaniu stanu zatrudnienia i wskaźnika, o których mowa w ust. 1, bierze się pod uwagę zatrudnienie pracowników za miesiąc poprzedzający miesiąc wystawienia faktury dokumentującej dany zakup. Do ustalania stanów zatrudnienia pracowników i wskaźników, o których mowa w ust. 1 i 5-7, stosuje się wyłączenia ze stanów zatrudnienia określone w art. 21 ust. 5.</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Sprzedający: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vertAlign w:val="superscript"/>
          <w:lang w:val="pl-Pl"/>
        </w:rPr>
        <w:t>25</w:t>
      </w:r>
      <w:r>
        <w:rPr>
          <w:rFonts w:ascii="Times New Roman"/>
          <w:b w:val="false"/>
          <w:i w:val="false"/>
          <w:color w:val="000000"/>
          <w:sz w:val="22"/>
          <w:lang w:val="pl-Pl"/>
        </w:rPr>
        <w:t xml:space="preserve"> </w:t>
      </w:r>
      <w:r>
        <w:rPr>
          <w:rFonts w:ascii="Times New Roman"/>
          <w:b w:val="false"/>
          <w:i w:val="false"/>
          <w:color w:val="000000"/>
          <w:sz w:val="22"/>
          <w:lang w:val="pl-Pl"/>
        </w:rPr>
        <w:t xml:space="preserve"> wystawia informację o kwocie obniżenia niezwłocznie po:</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otrzymaniu odwołania oświadczenia, o którym mowa w ust. 1a pkt 3, nie później niż do 15. dnia miesiąca następującego po miesiącu, w którym przypadał termin płatności za zakup, oraz terminowym uregulowaniu należności,</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terminowym uregulowaniu należności w przypadku nieotrzymania oświadczenia, o którym mowa w ust. 1a pkt 2, do 15. dnia miesiąca następującego po miesiącu, w którym przypadał termin płatności za zakup, lub w przypadku niewykonania obowiązku określonego w ust. 1a</w:t>
      </w:r>
    </w:p>
    <w:p>
      <w:pPr>
        <w:spacing w:before="25" w:after="0"/>
        <w:ind w:left="746"/>
        <w:jc w:val="both"/>
        <w:textAlignment w:val="auto"/>
      </w:pPr>
      <w:r>
        <w:rPr>
          <w:rFonts w:ascii="Times New Roman"/>
          <w:b w:val="false"/>
          <w:i w:val="false"/>
          <w:color w:val="000000"/>
          <w:sz w:val="22"/>
          <w:lang w:val="pl-Pl"/>
        </w:rPr>
        <w:t>- jednak nie później niż do ostatniego dnia miesiąca następującego po miesiącu, w którym przypadał termin płatności za zakup;</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prowadzi ewidencję wystawionych informacji o kwocie obniżenia;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przekazuje Zarządowi Funduszu informację miesięczną o informacjach o kwocie obniżenia - w terminie do 20. dnia miesiąca następującego po miesiącu, w którym wystawił informacje.</w:t>
      </w:r>
    </w:p>
    <w:p>
      <w:pPr>
        <w:spacing w:before="26" w:after="0"/>
        <w:ind w:left="0"/>
        <w:jc w:val="left"/>
        <w:textAlignment w:val="auto"/>
      </w:pPr>
      <w:r>
        <w:rPr>
          <w:rFonts w:ascii="Times New Roman"/>
          <w:b w:val="false"/>
          <w:i w:val="false"/>
          <w:color w:val="000000"/>
          <w:sz w:val="22"/>
          <w:lang w:val="pl-Pl"/>
        </w:rPr>
        <w:t xml:space="preserve">10a. </w:t>
      </w:r>
      <w:r>
        <w:rPr>
          <w:rFonts w:ascii="Times New Roman"/>
          <w:b w:val="false"/>
          <w:i w:val="false"/>
          <w:color w:val="000000"/>
          <w:sz w:val="22"/>
          <w:vertAlign w:val="superscript"/>
          <w:lang w:val="pl-Pl"/>
        </w:rPr>
        <w:t>26</w:t>
      </w:r>
      <w:r>
        <w:rPr>
          <w:rFonts w:ascii="Times New Roman"/>
          <w:b w:val="false"/>
          <w:i w:val="false"/>
          <w:color w:val="000000"/>
          <w:sz w:val="22"/>
          <w:lang w:val="pl-Pl"/>
        </w:rPr>
        <w:t xml:space="preserve"> </w:t>
      </w:r>
      <w:r>
        <w:rPr>
          <w:rFonts w:ascii="Times New Roman"/>
          <w:b w:val="false"/>
          <w:i w:val="false"/>
          <w:color w:val="000000"/>
          <w:sz w:val="22"/>
          <w:lang w:val="pl-Pl"/>
        </w:rPr>
        <w:t xml:space="preserve"> Przepisy ust. 1-10 oraz art. 22a i art. 22b stosuje się również do sprzedających lub nabywców będących:</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jednostkami organizacyjnymi, o których mowa w </w:t>
      </w:r>
      <w:r>
        <w:rPr>
          <w:rFonts w:ascii="Times New Roman"/>
          <w:b w:val="false"/>
          <w:i w:val="false"/>
          <w:color w:val="1b1b1b"/>
          <w:sz w:val="22"/>
          <w:lang w:val="pl-Pl"/>
        </w:rPr>
        <w:t>art. 2 pkt 1</w:t>
      </w:r>
      <w:r>
        <w:rPr>
          <w:rFonts w:ascii="Times New Roman"/>
          <w:b w:val="false"/>
          <w:i w:val="false"/>
          <w:color w:val="000000"/>
          <w:sz w:val="22"/>
          <w:lang w:val="pl-Pl"/>
        </w:rPr>
        <w:t xml:space="preserve">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(Dz. U. z 2018 r. poz. 280),</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wydzielonymi jednostkami organizacyjnymi wchodzącymi w skład innych podmiotów</w:t>
      </w:r>
    </w:p>
    <w:p>
      <w:pPr>
        <w:spacing w:before="25" w:after="0"/>
        <w:ind w:left="373"/>
        <w:jc w:val="both"/>
        <w:textAlignment w:val="auto"/>
      </w:pPr>
      <w:r>
        <w:rPr>
          <w:rFonts w:ascii="Times New Roman"/>
          <w:b w:val="false"/>
          <w:i w:val="false"/>
          <w:color w:val="000000"/>
          <w:sz w:val="22"/>
          <w:lang w:val="pl-Pl"/>
        </w:rPr>
        <w:t>- w przypadku ujawnienia danych tych jednostek organizacyjnych na fakturze, o której mowa w ust. 2 pkt 1.</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vertAlign w:val="superscript"/>
          <w:lang w:val="pl-Pl"/>
        </w:rPr>
        <w:t>27</w:t>
      </w:r>
      <w:r>
        <w:rPr>
          <w:rFonts w:ascii="Times New Roman"/>
          <w:b w:val="false"/>
          <w:i w:val="false"/>
          <w:color w:val="000000"/>
          <w:sz w:val="22"/>
          <w:lang w:val="pl-Pl"/>
        </w:rPr>
        <w:t xml:space="preserve"> </w:t>
      </w:r>
      <w:r>
        <w:rPr>
          <w:rFonts w:ascii="Times New Roman"/>
          <w:b w:val="false"/>
          <w:i w:val="false"/>
          <w:color w:val="000000"/>
          <w:sz w:val="22"/>
          <w:lang w:val="pl-Pl"/>
        </w:rPr>
        <w:t xml:space="preserve"> (uchylony).</w:t>
      </w:r>
    </w:p>
    <w:p>
      <w:pPr>
        <w:spacing w:before="26" w:after="0"/>
        <w:ind w:left="0"/>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Minister właściwy do spraw zabezpieczenia społecznego określi, w drodze rozporządzenia, wzory informacji, o których mowa w ust. 10 pkt 1 i 3, a także zakres danych gromadzonych w ewidencji, o której mowa w ust. 10 pkt 2, oraz sposób jej prowadzenia, uwzględniając możliwość weryfikacji spełniania przez sprzedającego warunków wystawienia informacji o kwocie obniżenia, warunków korzystania z obniżenia przez nabywcę oraz weryfikacji prawidłowości wykonania obowiązków przez sprzedającego.</w:t>
      </w:r>
    </w:p>
    <w:p>
      <w:pPr>
        <w:spacing w:before="80" w:after="0"/>
        <w:ind w:left="0"/>
        <w:jc w:val="left"/>
        <w:textAlignment w:val="auto"/>
      </w:pPr>
      <w:r>
        <w:rPr>
          <w:rFonts w:ascii="Times New Roman"/>
          <w:b/>
          <w:i w:val="false"/>
          <w:color w:val="000000"/>
          <w:sz w:val="22"/>
          <w:lang w:val="pl-Pl"/>
        </w:rPr>
        <w:t xml:space="preserve">Art. 22a. </w:t>
      </w:r>
      <w:r>
        <w:rPr>
          <w:rFonts w:ascii="Times New Roman"/>
          <w:b/>
          <w:i w:val="false"/>
          <w:color w:val="000000"/>
          <w:sz w:val="22"/>
          <w:lang w:val="pl-Pl"/>
        </w:rPr>
        <w:t xml:space="preserve"> [Kontrola]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Prezes Zarządu Funduszu może przeprowadzać kontrolę u sprzedającego lub nabywcy w zakresie prawidłowości realizacji przepisu art. 22.</w:t>
      </w:r>
    </w:p>
    <w:p>
      <w:pPr>
        <w:spacing w:before="80" w:after="0"/>
        <w:ind w:left="0"/>
        <w:jc w:val="left"/>
        <w:textAlignment w:val="auto"/>
      </w:pPr>
      <w:r>
        <w:rPr>
          <w:rFonts w:ascii="Times New Roman"/>
          <w:b/>
          <w:i w:val="false"/>
          <w:color w:val="000000"/>
          <w:sz w:val="22"/>
          <w:lang w:val="pl-Pl"/>
        </w:rPr>
        <w:t xml:space="preserve">Art. 22b. </w:t>
      </w:r>
      <w:r>
        <w:rPr>
          <w:rFonts w:ascii="Times New Roman"/>
          <w:b/>
          <w:i w:val="false"/>
          <w:color w:val="000000"/>
          <w:sz w:val="22"/>
          <w:lang w:val="pl-Pl"/>
        </w:rPr>
        <w:t xml:space="preserve"> [Wpłaty na PFRON w przypadku naruszenia obowiązków przez sprzedającego]</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Sprzedający dokonuje wpłaty na Fundusz w wysokości: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5% sumy kwot obniżenia wykazanych w informacjach o kwocie obniżenia, które nie zostały ujęte w ewidencji lub w informacjach, o których mowa odpowiednio w art. 22 ust. 10 pkt 2 i 3,</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10% kwoty obniżenia wykazanej w informacji o kwocie obniżenia w przypadku naruszenia terminu, o którym mowa w art. 22 ust. 10 pkt 1,</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30% kwoty obniżenia wykazanej w informacji o kwocie obniżenia, w przypadku niespełnienia warunków, o których mowa w art. 22 ust. 1,</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vertAlign w:val="superscript"/>
          <w:lang w:val="pl-Pl"/>
        </w:rPr>
        <w:t>28</w:t>
      </w:r>
      <w:r>
        <w:rPr>
          <w:rFonts w:ascii="Times New Roman"/>
          <w:b w:val="false"/>
          <w:i w:val="false"/>
          <w:color w:val="000000"/>
          <w:sz w:val="22"/>
          <w:lang w:val="pl-Pl"/>
        </w:rPr>
        <w:t xml:space="preserve"> </w:t>
      </w:r>
      <w:r>
        <w:rPr>
          <w:rFonts w:ascii="Times New Roman"/>
          <w:b w:val="false"/>
          <w:i w:val="false"/>
          <w:color w:val="000000"/>
          <w:sz w:val="22"/>
          <w:lang w:val="pl-Pl"/>
        </w:rPr>
        <w:t xml:space="preserve"> kwoty stanowiącej różnicę pomiędzy zawyżoną kwotą obniżenia wykazaną w informacji, o której mowa w art. 22 ust. 2 pkt 3, a prawidłowo obliczoną kwotą obniżenia w przypadku podania niezgodnych ze stanem faktycznym danych skutkujących zawyżeniem kwoty obniżenia w tej informacji;</w:t>
      </w:r>
    </w:p>
    <w:p>
      <w:pPr>
        <w:spacing w:before="25" w:after="0"/>
        <w:ind w:left="0"/>
        <w:jc w:val="both"/>
        <w:textAlignment w:val="auto"/>
      </w:pPr>
      <w:r>
        <w:rPr>
          <w:rFonts w:ascii="Times New Roman"/>
          <w:b w:val="false"/>
          <w:i w:val="false"/>
          <w:color w:val="000000"/>
          <w:sz w:val="22"/>
          <w:lang w:val="pl-Pl"/>
        </w:rPr>
        <w:t xml:space="preserve">- w terminie do 20. dnia miesiąca następującego po miesiącu, w którym te okoliczności zostały ujawnione w wyniku kontroli, o której mowa w art. 22a, lub czynności sprawdzającej, o której mowa w </w:t>
      </w:r>
      <w:r>
        <w:rPr>
          <w:rFonts w:ascii="Times New Roman"/>
          <w:b w:val="false"/>
          <w:i w:val="false"/>
          <w:color w:val="1b1b1b"/>
          <w:sz w:val="22"/>
          <w:lang w:val="pl-Pl"/>
        </w:rPr>
        <w:t>art. 272</w:t>
      </w:r>
      <w:r>
        <w:rPr>
          <w:rFonts w:ascii="Times New Roman"/>
          <w:b w:val="false"/>
          <w:i w:val="false"/>
          <w:color w:val="000000"/>
          <w:sz w:val="22"/>
          <w:lang w:val="pl-Pl"/>
        </w:rPr>
        <w:t xml:space="preserve"> ustawy z dnia 29 sierpnia 1997 r. - Ordynacja podatkowa (Dz. U. z 2017 r. poz. 201, z późn. zm.), zwanej dalej "Ordynacją podatkową".</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Przepisu ust. 1 nie stosuje się, jeżeli wysokość wpłaty nie przekracza pięciokrotności kosztów upomnienia w postępowaniu egzekucyjnym.</w:t>
      </w:r>
    </w:p>
    <w:p>
      <w:pPr>
        <w:spacing w:before="80" w:after="0"/>
        <w:ind w:left="0"/>
        <w:jc w:val="left"/>
        <w:textAlignment w:val="auto"/>
      </w:pPr>
      <w:r>
        <w:rPr>
          <w:rFonts w:ascii="Times New Roman"/>
          <w:b/>
          <w:i w:val="false"/>
          <w:color w:val="000000"/>
          <w:sz w:val="22"/>
          <w:lang w:val="pl-Pl"/>
        </w:rPr>
        <w:t xml:space="preserve">Art. 23. </w:t>
      </w:r>
      <w:r>
        <w:rPr>
          <w:rFonts w:ascii="Times New Roman"/>
          <w:b/>
          <w:i w:val="false"/>
          <w:color w:val="000000"/>
          <w:sz w:val="22"/>
          <w:lang w:val="pl-Pl"/>
        </w:rPr>
        <w:t xml:space="preserve"> [Niezorganizowanie stanowiska pracy dla osoby niepełnosprawnej]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Jeżeli pracodawca nie wydzieli lub nie zorganizuje w przepisanym terminie stanowiska pracy dla osoby, o której mowa w art. 14, obowiązany jest dokonać, w dniu rozwiązania stosunku pracy z tą osobą, wpłaty na Fundusz w wysokości piętnastokrotnego przeciętnego wynagrodzenia za pracownika.</w:t>
      </w:r>
    </w:p>
    <w:p>
      <w:pPr>
        <w:spacing w:before="80" w:after="0"/>
        <w:ind w:left="0"/>
        <w:jc w:val="left"/>
        <w:textAlignment w:val="auto"/>
      </w:pPr>
      <w:r>
        <w:rPr>
          <w:rFonts w:ascii="Times New Roman"/>
          <w:b/>
          <w:i w:val="false"/>
          <w:color w:val="000000"/>
          <w:sz w:val="22"/>
          <w:lang w:val="pl-Pl"/>
        </w:rPr>
        <w:t xml:space="preserve">Art. 23a. </w:t>
      </w:r>
      <w:r>
        <w:rPr>
          <w:rFonts w:ascii="Times New Roman"/>
          <w:b/>
          <w:i w:val="false"/>
          <w:color w:val="000000"/>
          <w:sz w:val="22"/>
          <w:lang w:val="pl-Pl"/>
        </w:rPr>
        <w:t xml:space="preserve"> [Niezbędne racjonalne usprawnienia dla osoby niepełnosprawnej]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Pracodawca jest obowiązany zapewnić niezbędne racjonalne usprawnienia dla osoby niepełnosprawnej pozostającej z nim w stosunku pracy, uczestniczącej w procesie rekrutacji lub odbywającej szkolenie, staż, przygotowanie zawodowe albo praktyki zawodowe lub absolwenckie. Niezbędne racjonalne usprawnienia polegają na przeprowadzeniu koniecznych w konkretnej sytuacji zmian lub dostosowań do szczególnych, zgłoszonych pracodawcy potrzeb wynikających z niepełnosprawności danej osoby, o ile przeprowadzenie takich zmian lub dostosowań nie skutkowałoby nałożeniem na pracodawcę nieproporcjonalnie wysokich obciążeń, z zastrzeżeniem ust. 2.</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Obciążenia, o których mowa w ust. 1, nie są nieproporcjonalne, jeżeli są w wystarczającym stopniu rekompensowane ze środków publicznych.</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Niedokonanie niezbędnych racjonalnych usprawnień, o których mowa w ust. 1, uważa się za naruszenie zasady równego traktowania w zatrudnieniu w rozumieniu przepisów </w:t>
      </w:r>
      <w:r>
        <w:rPr>
          <w:rFonts w:ascii="Times New Roman"/>
          <w:b w:val="false"/>
          <w:i w:val="false"/>
          <w:color w:val="1b1b1b"/>
          <w:sz w:val="22"/>
          <w:lang w:val="pl-Pl"/>
        </w:rPr>
        <w:t>art. 18</w:t>
      </w:r>
      <w:r>
        <w:rPr>
          <w:rFonts w:ascii="Times New Roman"/>
          <w:b w:val="false"/>
          <w:i w:val="false"/>
          <w:color w:val="1b1b1b"/>
          <w:sz w:val="22"/>
          <w:vertAlign w:val="superscript"/>
          <w:lang w:val="pl-Pl"/>
        </w:rPr>
        <w:t>3a</w:t>
      </w:r>
      <w:r>
        <w:rPr>
          <w:rFonts w:ascii="Times New Roman"/>
          <w:b w:val="false"/>
          <w:i w:val="false"/>
          <w:color w:val="1b1b1b"/>
          <w:sz w:val="22"/>
          <w:lang w:val="pl-Pl"/>
        </w:rPr>
        <w:t xml:space="preserve"> § 2-5</w:t>
      </w:r>
      <w:r>
        <w:rPr>
          <w:rFonts w:ascii="Times New Roman"/>
          <w:b w:val="false"/>
          <w:i w:val="false"/>
          <w:color w:val="000000"/>
          <w:sz w:val="22"/>
          <w:lang w:val="pl-Pl"/>
        </w:rPr>
        <w:t xml:space="preserve"> ustawy z dnia 26 czerwca 1974 r. - Kodeks pracy.</w:t>
      </w:r>
    </w:p>
    <w:p>
      <w:pPr>
        <w:spacing w:before="80" w:after="0"/>
        <w:ind w:left="0"/>
        <w:jc w:val="left"/>
        <w:textAlignment w:val="auto"/>
      </w:pPr>
      <w:r>
        <w:rPr>
          <w:rFonts w:ascii="Times New Roman"/>
          <w:b/>
          <w:i w:val="false"/>
          <w:color w:val="000000"/>
          <w:sz w:val="22"/>
          <w:lang w:val="pl-Pl"/>
        </w:rPr>
        <w:t xml:space="preserve">Art. 24.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25.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25a. </w:t>
      </w:r>
      <w:r>
        <w:rPr>
          <w:rFonts w:ascii="Times New Roman"/>
          <w:b/>
          <w:i w:val="false"/>
          <w:color w:val="000000"/>
          <w:sz w:val="22"/>
          <w:lang w:val="pl-Pl"/>
        </w:rPr>
        <w:t xml:space="preserve"> [Refundacja składek na ubezpieczenia społeczne]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Fundusz refunduje: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osobie niepełnosprawnej wykonującej działalność gospodarczą obowiązkowe składki na ubezpieczenia emerytalne i rentowe do wysokości odpowiadającej wysokości składki, której podstawą wymiaru jest kwota określona w </w:t>
      </w:r>
      <w:r>
        <w:rPr>
          <w:rFonts w:ascii="Times New Roman"/>
          <w:b w:val="false"/>
          <w:i w:val="false"/>
          <w:color w:val="1b1b1b"/>
          <w:sz w:val="22"/>
          <w:lang w:val="pl-Pl"/>
        </w:rPr>
        <w:t>art. 18 ust. 8</w:t>
      </w:r>
      <w:r>
        <w:rPr>
          <w:rFonts w:ascii="Times New Roman"/>
          <w:b w:val="false"/>
          <w:i w:val="false"/>
          <w:color w:val="000000"/>
          <w:sz w:val="22"/>
          <w:lang w:val="pl-Pl"/>
        </w:rPr>
        <w:t xml:space="preserve"> oraz w </w:t>
      </w:r>
      <w:r>
        <w:rPr>
          <w:rFonts w:ascii="Times New Roman"/>
          <w:b w:val="false"/>
          <w:i w:val="false"/>
          <w:color w:val="1b1b1b"/>
          <w:sz w:val="22"/>
          <w:lang w:val="pl-Pl"/>
        </w:rPr>
        <w:t>art. 18a</w:t>
      </w:r>
      <w:r>
        <w:rPr>
          <w:rFonts w:ascii="Times New Roman"/>
          <w:b w:val="false"/>
          <w:i w:val="false"/>
          <w:color w:val="000000"/>
          <w:sz w:val="22"/>
          <w:lang w:val="pl-Pl"/>
        </w:rPr>
        <w:t xml:space="preserve"> ustawy z dnia 13 października 1998 r. o systemie ubezpieczeń społecznych (Dz. U. z 2017 r. poz. 1778 oraz z 2018 r. poz. 106 i 138), z zastrzeżeniem ust. 1a,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niepełnosprawnemu rolnikowi lub rolnikowi zobowiązanemu do opłacania składek za niepełnosprawnego domownika, składki na ubezpieczenia społeczne rolników - wypadkowe, chorobowe, macierzyńskie oraz emerytalno-rentowe</w:t>
      </w:r>
    </w:p>
    <w:p>
      <w:pPr>
        <w:spacing w:before="25" w:after="0"/>
        <w:ind w:left="0"/>
        <w:jc w:val="left"/>
        <w:textAlignment w:val="auto"/>
      </w:pPr>
      <w:r>
        <w:rPr>
          <w:rFonts w:ascii="Times New Roman"/>
          <w:b w:val="false"/>
          <w:i w:val="false"/>
          <w:color w:val="000000"/>
          <w:sz w:val="22"/>
          <w:lang w:val="pl-Pl"/>
        </w:rPr>
        <w:t xml:space="preserve">- </w:t>
      </w:r>
      <w:r>
        <w:rPr>
          <w:rFonts w:ascii="Times New Roman"/>
          <w:b w:val="false"/>
          <w:i w:val="false"/>
          <w:color w:val="000000"/>
          <w:sz w:val="22"/>
          <w:vertAlign w:val="superscript"/>
          <w:lang w:val="pl-Pl"/>
        </w:rPr>
        <w:t>29</w:t>
      </w:r>
      <w:r>
        <w:rPr>
          <w:rFonts w:ascii="Times New Roman"/>
          <w:b w:val="false"/>
          <w:i w:val="false"/>
          <w:color w:val="000000"/>
          <w:sz w:val="22"/>
          <w:lang w:val="pl-Pl"/>
        </w:rPr>
        <w:t xml:space="preserve"> pod warunkiem opłacenia tych składek w całości najpóźniej w dniu złożenia wniosku.</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Refundacja, o której mowa w ust. 1 pkt 1, przysługuje w wysokości: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100% kwoty obowiązkowych składek na ubezpieczenia emerytalne i rentowe - w przypadku osób zaliczonych do znacznego stopnia niepełnosprawności;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60% kwoty obowiązkowych składek na ubezpieczenia emerytalne i rentowe - w przypadku osób zaliczonych do umiarkowanego stopnia niepełnosprawności;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30% kwoty obowiązkowych składek na ubezpieczenia emerytalne i rentowe - w przypadku osób zaliczonych do lekkiego stopnia niepełnosprawności.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Składki, o których mowa w ust. 1 pkt 1, osobie niepełnosprawnej wykonującej działalność gospodarczą nalicza się i opłaca na zasadach określonych w </w:t>
      </w:r>
      <w:r>
        <w:rPr>
          <w:rFonts w:ascii="Times New Roman"/>
          <w:b w:val="false"/>
          <w:i w:val="false"/>
          <w:color w:val="1b1b1b"/>
          <w:sz w:val="22"/>
          <w:lang w:val="pl-Pl"/>
        </w:rPr>
        <w:t>ustawie</w:t>
      </w:r>
      <w:r>
        <w:rPr>
          <w:rFonts w:ascii="Times New Roman"/>
          <w:b w:val="false"/>
          <w:i w:val="false"/>
          <w:color w:val="000000"/>
          <w:sz w:val="22"/>
          <w:lang w:val="pl-Pl"/>
        </w:rPr>
        <w:t xml:space="preserve"> z dnia 13 października 1998 r. o systemie ubezpieczeń społecznych.</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Składki, o których mowa w ust. 1 pkt 2, niepełnosprawnemu rolnikowi lub rolnikowi zobowiązanemu do opłacania składek za niepełnosprawnego domownika nalicza się i opłaca na zasadach określonych w </w:t>
      </w:r>
      <w:r>
        <w:rPr>
          <w:rFonts w:ascii="Times New Roman"/>
          <w:b w:val="false"/>
          <w:i w:val="false"/>
          <w:color w:val="1b1b1b"/>
          <w:sz w:val="22"/>
          <w:lang w:val="pl-Pl"/>
        </w:rPr>
        <w:t>ustawie</w:t>
      </w:r>
      <w:r>
        <w:rPr>
          <w:rFonts w:ascii="Times New Roman"/>
          <w:b w:val="false"/>
          <w:i w:val="false"/>
          <w:color w:val="000000"/>
          <w:sz w:val="22"/>
          <w:lang w:val="pl-Pl"/>
        </w:rPr>
        <w:t xml:space="preserve"> z dnia 20 grudnia 1990 r. o ubezpieczeniu społecznym rolników (Dz. U. z 2017 r. poz. 2336).</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 xml:space="preserve">Refundacja, o której mowa w ust. 1, nie przysługuje, jeżeli składki zostały opłacone z uchybieniem terminów określonych w </w:t>
      </w:r>
      <w:r>
        <w:rPr>
          <w:rFonts w:ascii="Times New Roman"/>
          <w:b w:val="false"/>
          <w:i w:val="false"/>
          <w:color w:val="1b1b1b"/>
          <w:sz w:val="22"/>
          <w:lang w:val="pl-Pl"/>
        </w:rPr>
        <w:t>art. 40</w:t>
      </w:r>
      <w:r>
        <w:rPr>
          <w:rFonts w:ascii="Times New Roman"/>
          <w:b w:val="false"/>
          <w:i w:val="false"/>
          <w:color w:val="000000"/>
          <w:sz w:val="22"/>
          <w:lang w:val="pl-Pl"/>
        </w:rPr>
        <w:t xml:space="preserve"> ustawy z dnia 20 grudnia 1990 r. o ubezpieczeniu społecznym rolników lub </w:t>
      </w:r>
      <w:r>
        <w:rPr>
          <w:rFonts w:ascii="Times New Roman"/>
          <w:b w:val="false"/>
          <w:i w:val="false"/>
          <w:color w:val="1b1b1b"/>
          <w:sz w:val="22"/>
          <w:lang w:val="pl-Pl"/>
        </w:rPr>
        <w:t>art. 47</w:t>
      </w:r>
      <w:r>
        <w:rPr>
          <w:rFonts w:ascii="Times New Roman"/>
          <w:b w:val="false"/>
          <w:i w:val="false"/>
          <w:color w:val="000000"/>
          <w:sz w:val="22"/>
          <w:lang w:val="pl-Pl"/>
        </w:rPr>
        <w:t xml:space="preserve"> ustawy z dnia 13 października 1998 r. o systemie ubezpieczeń społecznych przekraczającym 14 dni.</w:t>
      </w:r>
    </w:p>
    <w:p>
      <w:pPr>
        <w:spacing w:before="80" w:after="0"/>
        <w:ind w:left="0"/>
        <w:jc w:val="left"/>
        <w:textAlignment w:val="auto"/>
      </w:pPr>
      <w:r>
        <w:rPr>
          <w:rFonts w:ascii="Times New Roman"/>
          <w:b/>
          <w:i w:val="false"/>
          <w:color w:val="000000"/>
          <w:sz w:val="22"/>
          <w:lang w:val="pl-Pl"/>
        </w:rPr>
        <w:t xml:space="preserve">Art. 25b.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25c. </w:t>
      </w:r>
      <w:r>
        <w:rPr>
          <w:rFonts w:ascii="Times New Roman"/>
          <w:b/>
          <w:i w:val="false"/>
          <w:color w:val="000000"/>
          <w:sz w:val="22"/>
          <w:lang w:val="pl-Pl"/>
        </w:rPr>
        <w:t xml:space="preserve"> [Wypłata refundacji składek dla osoby prowadzącej działalność gospodarczą]</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Osoba niepełnosprawna wykonująca działalność gospodarczą składa Funduszowi wniosek o wypłatę refundacji składek na ubezpieczenia społeczne za dany miesiąc.</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Przepis ust. 1 stosuje się odpowiednio do niepełnosprawnego rolnika lub rolnika zobowiązanego do opłacania składek za niepełnosprawnego domownika, z tym że rolnik składa wniosek o wypłatę refundacji składek w miesiącu następującym po miesiącu, w którym dokonał zapłaty składek za dany kwartał.</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Osoba niepełnosprawna wykonująca działalność gospodarczą, niepełnosprawny rolnik lub rolnik zobowiązany do opłacania składek za niepełnosprawnego domownika, zwany dalej "wnioskodawcą", przekazuje wniosek o wypłatę refundacji składek na ubezpieczenia społeczne w formie dokumentu elektronicznego przez teletransmisję danych oraz pobiera drogą elektroniczną potwierdzenie wysłanego wniosku. Wnioskodawca może przekazać wniosek również w formie dokumentu pisemnego.</w:t>
      </w:r>
    </w:p>
    <w:p>
      <w:pPr>
        <w:spacing w:before="26" w:after="0"/>
        <w:ind w:left="0"/>
        <w:jc w:val="left"/>
        <w:textAlignment w:val="auto"/>
      </w:pPr>
      <w:r>
        <w:rPr>
          <w:rFonts w:ascii="Times New Roman"/>
          <w:b w:val="false"/>
          <w:i w:val="false"/>
          <w:color w:val="000000"/>
          <w:sz w:val="22"/>
          <w:lang w:val="pl-Pl"/>
        </w:rPr>
        <w:t xml:space="preserve">4a. </w:t>
      </w:r>
      <w:r>
        <w:rPr>
          <w:rFonts w:ascii="Times New Roman"/>
          <w:b w:val="false"/>
          <w:i w:val="false"/>
          <w:color w:val="000000"/>
          <w:sz w:val="22"/>
          <w:lang w:val="pl-Pl"/>
        </w:rPr>
        <w:t>Wniosek o wypłatę refundacji składek na ubezpieczenia społeczne w formie wydruku z oprogramowania informatycznego Zakładu Ubezpieczeń Społecznych, osoba niepełnosprawna wykonująca działalność gospodarczą może nieodpłatnie sporządzić w terenowej jednostce organizacyjnej Zakładu, na podstawie danych zgromadzonych w systemie informatycznym Zakładu.</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 terminie 14 dni od dnia otrzymania kompletnego i prawidłowo wypełnionego wniosku o wypłatę refundacji składek na ubezpieczenia społeczne Fundusz przekazuje na rachunek bankowy wnioskodawcy kwotę refundacji składek na ubezpieczenia społeczne w wysokości ustalonej na podstawie ust. 1, 4 i art. 25a oraz informuje wnioskodawcę o sposobie jej ustalenia, jeżeli kwota ta różni się od kwoty wskazanej we wniosku.</w:t>
      </w:r>
    </w:p>
    <w:p>
      <w:pPr>
        <w:spacing w:before="26" w:after="0"/>
        <w:ind w:left="0"/>
        <w:jc w:val="left"/>
        <w:textAlignment w:val="auto"/>
      </w:pPr>
      <w:r>
        <w:rPr>
          <w:rFonts w:ascii="Times New Roman"/>
          <w:b w:val="false"/>
          <w:i w:val="false"/>
          <w:color w:val="000000"/>
          <w:sz w:val="22"/>
          <w:lang w:val="pl-Pl"/>
        </w:rPr>
        <w:t xml:space="preserve">5a. </w:t>
      </w:r>
      <w:r>
        <w:rPr>
          <w:rFonts w:ascii="Times New Roman"/>
          <w:b w:val="false"/>
          <w:i w:val="false"/>
          <w:color w:val="000000"/>
          <w:sz w:val="22"/>
          <w:lang w:val="pl-Pl"/>
        </w:rPr>
        <w:t>W przypadku nieterminowego przekazania przez Fundusz kwoty refundacji składek na ubezpieczenia społeczne od kwoty należnej nalicza się odsetki, w wysokości określonej jak dla zaległości podatkowych.</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Jeżeli wnioskodawca posiada zaległości w zobowiązaniach wobec Funduszu przekraczające ogółem kwotę 100 zł, Prezes Zarządu Funduszu wydaje decyzję o wstrzymaniu refundacji składek na ubezpieczenia społeczne do czasu uregulowania zaległości przez wnioskodawcę. Decyzja podlega wykonaniu z dniem wydania.</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 przypadku nieuregulowania przez wnioskodawcę zaległości wobec Funduszu do dnia 31 stycznia roku następującego po roku, za który wnioskodawcy przysługuje refundacja, Prezes Zarządu Funduszu wydaje decyzję o odmowie wypłaty refundacji składek na ubezpieczenia społeczne za okres wskazany w decyzji, o której mowa w ust. 6.</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W przypadku gdy ustalona przez Fundusz kwota refundacji składek na ubezpieczenia społeczne jest inna niż kwota refundacji wykazana we wniosku, Prezes Zarządu Funduszu wydaje decyzję o wysokości refundacji, na wniosek złożony przez wnioskodawcę, w terminie 14 dni od dnia otrzymania informacji o ustaleniu wysokości przysługującej refundacji.</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Refundacja składek na ubezpieczenia społeczne jest udzielana na zasadach pomocy de minimis, określonych w przepisach prawa Unii Europejskiej.</w:t>
      </w:r>
    </w:p>
    <w:p>
      <w:pPr>
        <w:spacing w:before="80" w:after="0"/>
        <w:ind w:left="0"/>
        <w:jc w:val="left"/>
        <w:textAlignment w:val="auto"/>
      </w:pPr>
      <w:r>
        <w:rPr>
          <w:rFonts w:ascii="Times New Roman"/>
          <w:b/>
          <w:i w:val="false"/>
          <w:color w:val="000000"/>
          <w:sz w:val="22"/>
          <w:lang w:val="pl-Pl"/>
        </w:rPr>
        <w:t xml:space="preserve">Art. 25d. </w:t>
      </w:r>
      <w:r>
        <w:rPr>
          <w:rFonts w:ascii="Times New Roman"/>
          <w:b/>
          <w:i w:val="false"/>
          <w:color w:val="000000"/>
          <w:sz w:val="22"/>
          <w:lang w:val="pl-Pl"/>
        </w:rPr>
        <w:t xml:space="preserve"> [Kontrola i zwrot refundacji]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Prezes Zarządu Funduszu może przeprowadzać kontrole wnioskodawcy w zakresie refundacji składek na ubezpieczenia społeczne. W przypadku stwierdzenia w wyniku kontroli nieprawidłowości, Prezes Zarządu Funduszu wydaje decyzję nakazującą zwrot wypłaconej refundacji składek na ubezpieczenia społeczne w zakresie stwierdzonych nieprawidłowości.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vertAlign w:val="superscript"/>
          <w:lang w:val="pl-Pl"/>
        </w:rPr>
        <w:t>30</w:t>
      </w:r>
      <w:r>
        <w:rPr>
          <w:rFonts w:ascii="Times New Roman"/>
          <w:b w:val="false"/>
          <w:i w:val="false"/>
          <w:color w:val="000000"/>
          <w:sz w:val="22"/>
          <w:lang w:val="pl-Pl"/>
        </w:rPr>
        <w:t xml:space="preserve"> </w:t>
      </w:r>
      <w:r>
        <w:rPr>
          <w:rFonts w:ascii="Times New Roman"/>
          <w:b w:val="false"/>
          <w:i w:val="false"/>
          <w:color w:val="000000"/>
          <w:sz w:val="22"/>
          <w:lang w:val="pl-Pl"/>
        </w:rPr>
        <w:t xml:space="preserve"> Od decyzji, o których mowa w ust. 1 i art. 25c ust. 6-8, przysługuje wniosek o ponowne rozpatrzenie sprawy do Prezesa Zarządu Funduszu.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przypadku konieczności przeprowadzenia kontroli, o której mowa w ust. 1, Fundusz może nieodpłatnie korzystać z danych zgromadzonych przez Zakład Ubezpieczeń Społecznych lub Kasę Rolniczego Ubezpieczenia Społecznego.</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szczegółowe warunki udzielania oraz tryb przekazywania refundacji składek na ubezpieczenia społeczne,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termin składania, wzór wniosku, o którym mowa w art. 25c ust. 1, oraz wykaz dokumentów załączanych do wniosku,</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wymogi, jakie muszą spełniać wnioskodawcy przekazujący dokumenty w formie elektronicznej przez teletransmisję danych</w:t>
      </w:r>
    </w:p>
    <w:p>
      <w:pPr>
        <w:spacing w:before="25" w:after="0"/>
        <w:ind w:left="0"/>
        <w:jc w:val="both"/>
        <w:textAlignment w:val="auto"/>
      </w:pPr>
      <w:r>
        <w:rPr>
          <w:rFonts w:ascii="Times New Roman"/>
          <w:b w:val="false"/>
          <w:i w:val="false"/>
          <w:color w:val="000000"/>
          <w:sz w:val="22"/>
          <w:lang w:val="pl-Pl"/>
        </w:rPr>
        <w:t>- uwzględniając potrzebę zapewnienia zgodności z zasadami udzielania pomocy w ramach zasady de minimis, jednolitych warunków niezbędnych do prawidłowego przekazywania dokumentów oraz określenia zakresu danych niezbędnych do udzielenia pomocy, a także racjonalnego gospodarowania środkami Funduszu.</w:t>
      </w:r>
    </w:p>
    <w:p>
      <w:pPr>
        <w:spacing w:before="80" w:after="0"/>
        <w:ind w:left="0"/>
        <w:jc w:val="left"/>
        <w:textAlignment w:val="auto"/>
      </w:pPr>
      <w:r>
        <w:rPr>
          <w:rFonts w:ascii="Times New Roman"/>
          <w:b/>
          <w:i w:val="false"/>
          <w:color w:val="000000"/>
          <w:sz w:val="22"/>
          <w:lang w:val="pl-Pl"/>
        </w:rPr>
        <w:t xml:space="preserve">Art. 26. </w:t>
      </w:r>
      <w:r>
        <w:rPr>
          <w:rFonts w:ascii="Times New Roman"/>
          <w:b/>
          <w:i w:val="false"/>
          <w:color w:val="000000"/>
          <w:sz w:val="22"/>
          <w:lang w:val="pl-Pl"/>
        </w:rPr>
        <w:t xml:space="preserve"> [Zwrot dodatkowych kosztów dla osoby zatrudniającej osobę niepełnosprawną]</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Pracodawca, który przez okres co najmniej 36 miesięcy zatrudni osoby niepełnosprawne spełniające warunki określone w ust. 2, może otrzymać, na wniosek, ze środków Funduszu zwrot kosztów:</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adaptacji pomieszczeń zakładu pracy do potrzeb osób niepełnosprawnych, w szczególności poniesionych w związku z przystosowaniem tworzonych lub istniejących stanowisk pracy dla tych osób, stosownie do potrzeb wynikających z ich niepełnosprawności;</w:t>
      </w:r>
    </w:p>
    <w:p>
      <w:pPr>
        <w:spacing w:before="26" w:after="0"/>
        <w:ind w:left="373"/>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1b) </w:t>
      </w:r>
      <w:r>
        <w:rPr>
          <w:rFonts w:ascii="Times New Roman"/>
          <w:b w:val="false"/>
          <w:i w:val="false"/>
          <w:color w:val="000000"/>
          <w:sz w:val="22"/>
          <w:lang w:val="pl-Pl"/>
        </w:rPr>
        <w:t>adaptacji lub nabycia urządzeń ułatwiających osobie niepełnosprawnej wykonywanie pracy lub funkcjonowanie w zakładzie pracy;</w:t>
      </w:r>
    </w:p>
    <w:p>
      <w:pPr>
        <w:spacing w:before="26" w:after="0"/>
        <w:ind w:left="373"/>
        <w:jc w:val="left"/>
        <w:textAlignment w:val="auto"/>
      </w:pPr>
      <w:r>
        <w:rPr>
          <w:rFonts w:ascii="Times New Roman"/>
          <w:b w:val="false"/>
          <w:i w:val="false"/>
          <w:color w:val="000000"/>
          <w:sz w:val="22"/>
          <w:lang w:val="pl-Pl"/>
        </w:rPr>
        <w:t xml:space="preserve">1c) </w:t>
      </w:r>
      <w:r>
        <w:rPr>
          <w:rFonts w:ascii="Times New Roman"/>
          <w:b w:val="false"/>
          <w:i w:val="false"/>
          <w:color w:val="000000"/>
          <w:sz w:val="22"/>
          <w:lang w:val="pl-Pl"/>
        </w:rPr>
        <w:t>zakupu i autoryzacji oprogramowania na użytek pracowników niepełnosprawnych oraz urządzeń technologii wspomagających lub przystosowanych do potrzeb wynikających z ich niepełnosprawności;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rozpoznania przez służby medycyny pracy potrzeb, o których mowa w pkt 1-1c.</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Zwrot kosztów, o których mowa w ust. 1 oraz w art. 26d, dotyczy wyłącznie dodatkowych kosztów pracodawcy wynikających z zatrudnienia osób niepełnosprawnych.</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Zwrot kosztów dotyczy osób niepełnosprawnych:</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bezrobotnych lub poszukujących pracy niepozostających w zatrudnieniu;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pozostających w zatrudnieniu u pracodawcy występującego o zwrot kosztów, z wyjątkiem przypadków, gdy przyczyną powstania niepełnosprawności w okresie zatrudnienia u tego pracodawcy było zawinione przez pracodawcę lub przez pracownika naruszenie przepisów, w tym przepisów prawa pracy.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Zwrot kosztów nie może przekraczać dwudziestokrotnego przeciętnego wynagrodzenia za każde przystosowane stanowisko pracy osoby niepełnosprawnej.</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Zwrotu kosztów dokonuje starosta na warunkach i w wysokości określonych umową zawartą z pracodawcą, z tym że: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zwrotowi nie podlegają koszty, o których mowa w ust. 1 pkt 1-1c, poniesione przez pracodawcę przed dniem podpisania umowy;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kwota zwrotu kosztów poniesionych w związku z rozpoznaniem potrzeb osób niepełnosprawnych nie może przekraczać 15% kosztów związanych z przystosowaniem tworzonych lub istniejących stanowisk pracy do potrzeb osób niepełnosprawnych.</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Umowy z pracodawcą, którym jest starosta, zawiera Prezes Zarządu Funduszu.</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Warunkiem zwrotu kosztów jest uzyskanie pozytywnej opinii Państwowej Inspekcji Pracy, wydanej na wniosek starosty, odpowiednio o przystosowaniu lub o spełnieniu warunków bezpieczeństwa i higieny pracy na stanowisku pracy lub pomieszczeniach zakładu pracy, o których mowa w ust. 1.</w:t>
      </w:r>
    </w:p>
    <w:p>
      <w:pPr>
        <w:spacing w:before="26" w:after="0"/>
        <w:ind w:left="0"/>
        <w:jc w:val="left"/>
        <w:textAlignment w:val="auto"/>
      </w:pPr>
      <w:r>
        <w:rPr>
          <w:rFonts w:ascii="Times New Roman"/>
          <w:b w:val="false"/>
          <w:i w:val="false"/>
          <w:color w:val="000000"/>
          <w:sz w:val="22"/>
          <w:lang w:val="pl-Pl"/>
        </w:rPr>
        <w:t xml:space="preserve">6a.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Jeżeli okres zatrudnienia osoby niepełnosprawnej będzie krótszy niż 36 miesięcy, pracodawca jest obowiązany zwrócić Funduszowi za pośrednictwem starosty środki w wysokości równej 1/36 ogólnej kwoty zwrotu za każdy miesiąc brakujący do upływu okresu, o którym mowa w ust. 1, jednak w wysokości nie mniejszej niż 1/6 tej kwoty. Pracodawca dokonuje zwrotu w terminie 3 miesięcy od dnia rozwiązania stosunku pracy z osobą niepełnosprawną.</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Pracodawca nie zwraca środków, o których mowa w ust. 7, jeżeli zatrudni w terminie 3 miesięcy od dnia rozwiązania stosunku pracy z osobą niepełnosprawną inną osobę niepełnosprawną, zarejestrowaną w powiatowym urzędzie pracy jako bezrobotna lub poszukująca pracy niepozostająca w zatrudnieniu, przy czym wynikająca z tego powodu przerwa nie jest wliczana do okresu, o którym mowa w ust. 1.</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Minister właściwy do spraw zabezpieczenia społecznego określi, w drodze rozporządzenia, szczegółowe warunki udzielania pomocy, o której mowa w ust. 1-8 oraz w art. 26d, a także tryb i sposób postępowania w sprawach udzielania tej pomocy, w tym wzór wniosku i elementy umowy, dokumentację niezbędną do zwrotu kosztów oraz sposób i terminy rozpatrywania wniosków, mając na względzie zapewnienie prawidłowego i sprawnego udzielania pomocy oraz dokonywania zwrotu kosztów, w tym uzyskiwania informacji niezbędnych do udzielenia tej pomocy i dokonania zwrotu kosztów.</w:t>
      </w:r>
    </w:p>
    <w:p>
      <w:pPr>
        <w:spacing w:before="80" w:after="0"/>
        <w:ind w:left="0"/>
        <w:jc w:val="left"/>
        <w:textAlignment w:val="auto"/>
      </w:pPr>
      <w:r>
        <w:rPr>
          <w:rFonts w:ascii="Times New Roman"/>
          <w:b/>
          <w:i w:val="false"/>
          <w:color w:val="000000"/>
          <w:sz w:val="22"/>
          <w:lang w:val="pl-Pl"/>
        </w:rPr>
        <w:t xml:space="preserve">Art. 26a. </w:t>
      </w:r>
      <w:r>
        <w:rPr>
          <w:rFonts w:ascii="Times New Roman"/>
          <w:b/>
          <w:i w:val="false"/>
          <w:color w:val="000000"/>
          <w:sz w:val="22"/>
          <w:lang w:val="pl-Pl"/>
        </w:rPr>
        <w:t xml:space="preserve"> [Dofinansowanie do wynagrodzenia pracownika niepełnosprawnego]</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Pracodawcy przysługuje ze środków Funduszu miesięczne dofinansowanie do wynagrodzenia pracownika niepełnosprawnego, o ile pracownik ten został ujęty w ewidencji zatrudnionych osób niepełnosprawnych, o której mowa w art. 26b ust. 1. Miesięczne dofinansowanie do wynagrodzenia pracownika niepełnosprawnego, zwane dalej "miesięcznym dofinansowaniem", przysługuje w kwocie: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1800 zł - w przypadku osób niepełnosprawnych zaliczonych do znacznego stopnia niepełnosprawności;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1125 zł - w przypadku osób niepełnosprawnych zaliczonych do umiarkowanego stopnia niepełnosprawności;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450 zł - w przypadku osób niepełnosprawnych zaliczonych do lekkiego stopnia niepełnosprawności.</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Miesięczne dofinansowanie nie przysługuje pracodawcy zatrudniającemu co najmniej 25 pracowników w przeliczeniu na pełny wymiar czasu pracy i nieosiągającemu wskaźnika zatrudnienia osób niepełnosprawnych w wysokości co najmniej 6%.</w:t>
      </w:r>
    </w:p>
    <w:p>
      <w:pPr>
        <w:spacing w:before="26" w:after="0"/>
        <w:ind w:left="0"/>
        <w:jc w:val="left"/>
        <w:textAlignment w:val="auto"/>
      </w:pPr>
      <w:r>
        <w:rPr>
          <w:rFonts w:ascii="Times New Roman"/>
          <w:b w:val="false"/>
          <w:i w:val="false"/>
          <w:color w:val="000000"/>
          <w:sz w:val="22"/>
          <w:lang w:val="pl-Pl"/>
        </w:rPr>
        <w:t>1a</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w:t>
      </w:r>
      <w:r>
        <w:rPr>
          <w:rFonts w:ascii="Times New Roman"/>
          <w:b w:val="false"/>
          <w:i w:val="false"/>
          <w:color w:val="000000"/>
          <w:sz w:val="22"/>
          <w:lang w:val="pl-Pl"/>
        </w:rPr>
        <w:t>Miesięczne dofinansowanie nie przysługuje: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 pracowników zaliczonych do umiarkowanego lub lekkiego stopnia niepełnosprawności, którzy mają ustalone prawo do emerytury;</w:t>
      </w:r>
    </w:p>
    <w:p>
      <w:pPr>
        <w:spacing w:before="26" w:after="0"/>
        <w:ind w:left="373"/>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do wynagrodzeń wypłaconych po dniu złożenia wniosku, o którym mowa w art. 26c ust. 1 pkt 2;</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jeżeli wynagrodzenie pracownika niepełnosprawnego nie zostało przekazane na jego rachunek bankowy lub rachunek w spółdzielczej kasie oszczędnościowo-kredytowej albo na adres zamieszkania tego pracownika, za pośrednictwem osób prawnych prowadzących działalność w zakresie doręczania kwot pieniężnych;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vertAlign w:val="superscript"/>
          <w:lang w:val="pl-Pl"/>
        </w:rPr>
        <w:t>31</w:t>
      </w:r>
      <w:r>
        <w:rPr>
          <w:rFonts w:ascii="Times New Roman"/>
          <w:b w:val="false"/>
          <w:i w:val="false"/>
          <w:color w:val="000000"/>
          <w:sz w:val="22"/>
          <w:lang w:val="pl-Pl"/>
        </w:rPr>
        <w:t xml:space="preserve"> </w:t>
      </w:r>
      <w:r>
        <w:rPr>
          <w:rFonts w:ascii="Times New Roman"/>
          <w:b w:val="false"/>
          <w:i w:val="false"/>
          <w:color w:val="000000"/>
          <w:sz w:val="22"/>
          <w:lang w:val="pl-Pl"/>
        </w:rPr>
        <w:t xml:space="preserve"> jeżeli miesięczne koszty płacy zostały poniesione przez pracodawcę z uchybieniem terminów, wynikających z odrębnych przepisów, przekraczającym 14 dni, z zastrzeżeniem ust. 1a</w:t>
      </w:r>
      <w:r>
        <w:rPr>
          <w:rFonts w:ascii="Times New Roman"/>
          <w:b w:val="false"/>
          <w:i w:val="false"/>
          <w:color w:val="000000"/>
          <w:sz w:val="22"/>
          <w:vertAlign w:val="superscript"/>
          <w:lang w:val="pl-Pl"/>
        </w:rPr>
        <w:t>2</w:t>
      </w:r>
      <w:r>
        <w:rPr>
          <w:rFonts w:ascii="Times New Roman"/>
          <w:b w:val="false"/>
          <w:i w:val="false"/>
          <w:color w:val="000000"/>
          <w:sz w:val="22"/>
          <w:lang w:val="pl-Pl"/>
        </w:rPr>
        <w:t>.</w:t>
      </w:r>
    </w:p>
    <w:p>
      <w:pPr>
        <w:spacing w:before="26" w:after="0"/>
        <w:ind w:left="0"/>
        <w:jc w:val="left"/>
        <w:textAlignment w:val="auto"/>
      </w:pPr>
      <w:r>
        <w:rPr>
          <w:rFonts w:ascii="Times New Roman"/>
          <w:b w:val="false"/>
          <w:i w:val="false"/>
          <w:color w:val="000000"/>
          <w:sz w:val="22"/>
          <w:lang w:val="pl-Pl"/>
        </w:rPr>
        <w:t>1a</w:t>
      </w:r>
      <w:r>
        <w:rPr>
          <w:rFonts w:ascii="Times New Roman"/>
          <w:b w:val="false"/>
          <w:i w:val="false"/>
          <w:color w:val="000000"/>
          <w:sz w:val="22"/>
          <w:vertAlign w:val="superscript"/>
          <w:lang w:val="pl-Pl"/>
        </w:rPr>
        <w:t>2</w:t>
      </w:r>
      <w:r>
        <w:rPr>
          <w:rFonts w:ascii="Times New Roman"/>
          <w:b w:val="false"/>
          <w:i w:val="false"/>
          <w:color w:val="000000"/>
          <w:sz w:val="22"/>
          <w:lang w:val="pl-Pl"/>
        </w:rPr>
        <w:t xml:space="preserve">. </w:t>
      </w:r>
      <w:r>
        <w:rPr>
          <w:rFonts w:ascii="Times New Roman"/>
          <w:b w:val="false"/>
          <w:i w:val="false"/>
          <w:color w:val="000000"/>
          <w:sz w:val="22"/>
          <w:vertAlign w:val="superscript"/>
          <w:lang w:val="pl-Pl"/>
        </w:rPr>
        <w:t>32</w:t>
      </w:r>
      <w:r>
        <w:rPr>
          <w:rFonts w:ascii="Times New Roman"/>
          <w:b w:val="false"/>
          <w:i w:val="false"/>
          <w:color w:val="000000"/>
          <w:sz w:val="22"/>
          <w:lang w:val="pl-Pl"/>
        </w:rPr>
        <w:t xml:space="preserve"> </w:t>
      </w:r>
      <w:r>
        <w:rPr>
          <w:rFonts w:ascii="Times New Roman"/>
          <w:b w:val="false"/>
          <w:i w:val="false"/>
          <w:color w:val="000000"/>
          <w:sz w:val="22"/>
          <w:lang w:val="pl-Pl"/>
        </w:rPr>
        <w:t xml:space="preserve"> Kwota miesięcznych należnych składek, o których mowa w art. 2 pkt 4a, opłaconych z uchybieniem terminu, o którym mowa w ust. 1a</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pkt 3, nie może przekroczyć wysokości 2% składek należnych za dany miesiąc.</w:t>
      </w:r>
    </w:p>
    <w:p>
      <w:pPr>
        <w:spacing w:before="26" w:after="0"/>
        <w:ind w:left="0"/>
        <w:jc w:val="left"/>
        <w:textAlignment w:val="auto"/>
      </w:pPr>
      <w:r>
        <w:rPr>
          <w:rFonts w:ascii="Times New Roman"/>
          <w:b w:val="false"/>
          <w:i w:val="false"/>
          <w:color w:val="000000"/>
          <w:sz w:val="22"/>
          <w:lang w:val="pl-Pl"/>
        </w:rPr>
        <w:t xml:space="preserve">1b. </w:t>
      </w:r>
      <w:r>
        <w:rPr>
          <w:rFonts w:ascii="Times New Roman"/>
          <w:b w:val="false"/>
          <w:i w:val="false"/>
          <w:color w:val="000000"/>
          <w:sz w:val="22"/>
          <w:lang w:val="pl-Pl"/>
        </w:rPr>
        <w:t>Kwoty, o których mowa w ust. 1, zwiększa się o 600 zł w przypadku osób niepełnosprawnych, w odniesieniu do których orzeczono chorobę psychiczną, upośledzenie umysłowe, całościowe zaburzenia rozwojowe lub epilepsję oraz niewidomych.</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vertAlign w:val="superscript"/>
          <w:lang w:val="pl-Pl"/>
        </w:rPr>
        <w:t>33</w:t>
      </w:r>
      <w:r>
        <w:rPr>
          <w:rFonts w:ascii="Times New Roman"/>
          <w:b w:val="false"/>
          <w:i w:val="false"/>
          <w:color w:val="000000"/>
          <w:sz w:val="22"/>
          <w:lang w:val="pl-Pl"/>
        </w:rPr>
        <w:t xml:space="preserve"> </w:t>
      </w:r>
      <w:r>
        <w:rPr>
          <w:rFonts w:ascii="Times New Roman"/>
          <w:b w:val="false"/>
          <w:i w:val="false"/>
          <w:color w:val="000000"/>
          <w:sz w:val="22"/>
          <w:lang w:val="pl-Pl"/>
        </w:rPr>
        <w:t xml:space="preserve"> Kwota miesięcznego dofinansowania nie może przekroczyć 90% faktycznie poniesionych miesięcznych kosztów płacy, a w przypadku pracodawcy wykonującego działalność gospodarczą, w rozumieniu przepisów o postępowaniu w sprawach dotyczących pomocy publicznej, zwanego dalej "pracodawcą wykonującym działalność gospodarczą", 75% tych kosztów.</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Miesięczne dofinansowanie wypłaca Fundusz w wysokości proporcjonalnej do wymiaru czasu pracy pracownika, na zasadach określonych w art. 26b i 26c.</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Jeżeli pracodawca posiada zaległości w zobowiązaniach wobec Funduszu przekraczające ogółem kwotę 100 złotych, Prezes Zarządu Funduszu wydaje decyzję o wstrzymaniu miesięcznego dofinansowania do czasu uregulowania zaległości przez pracodawcę. Decyzja podlega wykonaniu z dniem wydania.</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W przypadku nieuregulowania przez pracodawcę zaległości wobec Funduszu do dnia 31 stycznia roku następującego po roku, za który pracodawcy przysługuje miesięczne dofinansowanie, Prezes Zarządu Funduszu wydaje decyzję o odmowie wypłaty miesięcznego dofinansowania za okres wskazany w decyzji, o której mowa w ust. 8.</w:t>
      </w:r>
    </w:p>
    <w:p>
      <w:pPr>
        <w:spacing w:before="26" w:after="0"/>
        <w:ind w:left="0"/>
        <w:jc w:val="left"/>
        <w:textAlignment w:val="auto"/>
      </w:pPr>
      <w:r>
        <w:rPr>
          <w:rFonts w:ascii="Times New Roman"/>
          <w:b w:val="false"/>
          <w:i w:val="false"/>
          <w:color w:val="000000"/>
          <w:sz w:val="22"/>
          <w:lang w:val="pl-Pl"/>
        </w:rPr>
        <w:t xml:space="preserve">9a. </w:t>
      </w:r>
      <w:r>
        <w:rPr>
          <w:rFonts w:ascii="Times New Roman"/>
          <w:b w:val="false"/>
          <w:i w:val="false"/>
          <w:color w:val="000000"/>
          <w:sz w:val="22"/>
          <w:lang w:val="pl-Pl"/>
        </w:rPr>
        <w:t>Prezes Zarządu Funduszu wydaje decyzję o odmowie wypłaty miesięcznego dofinansowania: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przypadkach, o których mowa w art. 48a ust. 3;</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niespełnienia warunku, o którym mowa w ust. 1a</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pkt 2 albo 3.</w:t>
      </w:r>
    </w:p>
    <w:p>
      <w:pPr>
        <w:spacing w:before="26" w:after="0"/>
        <w:ind w:left="0"/>
        <w:jc w:val="left"/>
        <w:textAlignment w:val="auto"/>
      </w:pPr>
      <w:r>
        <w:rPr>
          <w:rFonts w:ascii="Times New Roman"/>
          <w:b w:val="false"/>
          <w:i w:val="false"/>
          <w:color w:val="000000"/>
          <w:sz w:val="22"/>
          <w:lang w:val="pl-Pl"/>
        </w:rPr>
        <w:t xml:space="preserve">9b. </w:t>
      </w:r>
      <w:r>
        <w:rPr>
          <w:rFonts w:ascii="Times New Roman"/>
          <w:b w:val="false"/>
          <w:i w:val="false"/>
          <w:color w:val="000000"/>
          <w:sz w:val="22"/>
          <w:lang w:val="pl-Pl"/>
        </w:rPr>
        <w:t>Prezes Zarządu Funduszu może przeprowadzić u pracodawcy postępowanie sprawdzające w celu potwierdzenia: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zgodności ze stanem faktycznym danych zawartych w dokumentach, o których mowa w art. 26c ust. 1;</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sytuacji ekonomicznej pracodawcy wykonującego działalność gospodarczą, o której mowa w art. 48a ust. 3.</w:t>
      </w:r>
    </w:p>
    <w:p>
      <w:pPr>
        <w:spacing w:before="26" w:after="0"/>
        <w:ind w:left="0"/>
        <w:jc w:val="left"/>
        <w:textAlignment w:val="auto"/>
      </w:pPr>
      <w:r>
        <w:rPr>
          <w:rFonts w:ascii="Times New Roman"/>
          <w:b w:val="false"/>
          <w:i w:val="false"/>
          <w:color w:val="000000"/>
          <w:sz w:val="22"/>
          <w:lang w:val="pl-Pl"/>
        </w:rPr>
        <w:t xml:space="preserve">9c. </w:t>
      </w:r>
      <w:r>
        <w:rPr>
          <w:rFonts w:ascii="Times New Roman"/>
          <w:b w:val="false"/>
          <w:i w:val="false"/>
          <w:color w:val="000000"/>
          <w:sz w:val="22"/>
          <w:lang w:val="pl-Pl"/>
        </w:rPr>
        <w:t>W przypadku podjęcia postępowania sprawdzającego dotyczącego złożonego wniosku o wypłatę miesięcznego dofinansowania termin, o którym mowa w art. 26c ust. 3, ulega przedłużeniu o okres niezbędny do przeprowadzenia tego postępowania, nie dłużej jednak niż o 14 dni.</w:t>
      </w:r>
    </w:p>
    <w:p>
      <w:pPr>
        <w:spacing w:before="26" w:after="0"/>
        <w:ind w:left="0"/>
        <w:jc w:val="left"/>
        <w:textAlignment w:val="auto"/>
      </w:pPr>
      <w:r>
        <w:rPr>
          <w:rFonts w:ascii="Times New Roman"/>
          <w:b w:val="false"/>
          <w:i w:val="false"/>
          <w:color w:val="000000"/>
          <w:sz w:val="22"/>
          <w:lang w:val="pl-Pl"/>
        </w:rPr>
        <w:t xml:space="preserve">9d. </w:t>
      </w:r>
      <w:r>
        <w:rPr>
          <w:rFonts w:ascii="Times New Roman"/>
          <w:b w:val="false"/>
          <w:i w:val="false"/>
          <w:color w:val="000000"/>
          <w:sz w:val="22"/>
          <w:lang w:val="pl-Pl"/>
        </w:rPr>
        <w:t>W przypadku stwierdzenia nieprawidłowości w wyniku postępowania sprawdzającego, o którym mowa w ust. 9b, stosuje się przepis ust. 10.</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Prezes Zarządu Funduszu może przeprowadzać kontrole pracodawcy w zakresie miesięcznego dofinansowania, w szczególności dotyczące zgodności ze stanem faktycznym:</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danych zawartych w dokumentach, o których mowa w art. 26c ust. 1;</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wysokości miesięcznego dofinansowania, w tym kwot i terminów poniesienia miesięcznych kosztów płacy pracowników.</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W przypadku stwierdzenia nieprawidłowości w wyniku kontroli albo analizy dokumentów zgromadzonych przez Fundusz lub danych, o których mowa w art. 49c, Prezes Zarządu Funduszu wydaje: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decyzję nakazującą zwrot wypłaconego dofinansowania w zakresie stwierdzonych nieprawidłowości;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decyzję o wstrzymaniu dofinansowania do czasu zwrotu wypłaconego dofinansowania; decyzja podlega wykonaniu z dniem wydania.</w:t>
      </w:r>
    </w:p>
    <w:p>
      <w:pPr>
        <w:spacing w:before="26" w:after="0"/>
        <w:ind w:left="0"/>
        <w:jc w:val="left"/>
        <w:textAlignment w:val="auto"/>
      </w:pPr>
      <w:r>
        <w:rPr>
          <w:rFonts w:ascii="Times New Roman"/>
          <w:b w:val="false"/>
          <w:i w:val="false"/>
          <w:color w:val="000000"/>
          <w:sz w:val="22"/>
          <w:lang w:val="pl-Pl"/>
        </w:rPr>
        <w:t xml:space="preserve">12. </w:t>
      </w:r>
      <w:r>
        <w:rPr>
          <w:rFonts w:ascii="Times New Roman"/>
          <w:b w:val="false"/>
          <w:i w:val="false"/>
          <w:color w:val="000000"/>
          <w:sz w:val="22"/>
          <w:vertAlign w:val="superscript"/>
          <w:lang w:val="pl-Pl"/>
        </w:rPr>
        <w:t>34</w:t>
      </w:r>
      <w:r>
        <w:rPr>
          <w:rFonts w:ascii="Times New Roman"/>
          <w:b w:val="false"/>
          <w:i w:val="false"/>
          <w:color w:val="000000"/>
          <w:sz w:val="22"/>
          <w:lang w:val="pl-Pl"/>
        </w:rPr>
        <w:t xml:space="preserve"> </w:t>
      </w:r>
      <w:r>
        <w:rPr>
          <w:rFonts w:ascii="Times New Roman"/>
          <w:b w:val="false"/>
          <w:i w:val="false"/>
          <w:color w:val="000000"/>
          <w:sz w:val="22"/>
          <w:lang w:val="pl-Pl"/>
        </w:rPr>
        <w:t xml:space="preserve"> Od decyzji, o których mowa w ust. 8-9a i 11, przysługuje wniosek o ponowne rozpatrzenie sprawy do Prezesa Zarządu Funduszu.</w:t>
      </w:r>
    </w:p>
    <w:p>
      <w:pPr>
        <w:spacing w:before="80" w:after="0"/>
        <w:ind w:left="0"/>
        <w:jc w:val="left"/>
        <w:textAlignment w:val="auto"/>
      </w:pPr>
      <w:r>
        <w:rPr>
          <w:rFonts w:ascii="Times New Roman"/>
          <w:b/>
          <w:i w:val="false"/>
          <w:color w:val="000000"/>
          <w:sz w:val="22"/>
          <w:lang w:val="pl-Pl"/>
        </w:rPr>
        <w:t xml:space="preserve">Art. 26b. </w:t>
      </w:r>
      <w:r>
        <w:rPr>
          <w:rFonts w:ascii="Times New Roman"/>
          <w:b/>
          <w:i w:val="false"/>
          <w:color w:val="000000"/>
          <w:sz w:val="22"/>
          <w:lang w:val="pl-Pl"/>
        </w:rPr>
        <w:t xml:space="preserve"> [Warunki przyznania dofinansowania]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Miesięczne dofinansowanie przysługuje na osoby niepełnosprawne z tytułu zatrudnienia, ujęte w ewidencji zatrudnionych osób niepełnosprawnych, którą prowadzi Fundusz, wykorzystując numer PESEL oraz przekazywane drogą elektroniczną do Funduszu informacje, z zastrzeżeniem art. 26c ust. 1a.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gdy osoba niepełnosprawna jest zatrudniona u więcej niż jednego pracodawcy w wymiarze czasu pracy nieprzekraczającym ogółem pełnego wymiaru czasu pracy, miesięczne dofinansowanie przyznaje się na tę osobę pracodawcom, u których jest ona zatrudniona, w wysokości proporcjonalnej do wymiaru czasu pracy tej osoby.</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W przypadku, gdy osoba, o której mowa w ust. 2, jest zatrudniona w wymiarze czasu pracy przekraczającym ogółem pełny wymiar czasu pracy, miesięczne dofinansowanie przyznaje się na tę osobę w wysokości nieprzekraczającej kwoty miesięcznego dofinansowania przyznawanego na osobę zatrudnioną w pełnym wymiarze czasu pracy. Miesięczne dofinansowanie w wysokości proporcjonalnej do wymiaru czasu pracy tej osoby w pierwszej kolejności przyznaje się pracodawcy, który wcześniej zatrudnił tę osobę.</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 ustalania stanów zatrudnienia pracowników i wskaźnika, o których mowa w art. 26a ust. 1, 1a i 1b, stosuje się:</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wyłączenia ze stanów zatrudnienia określone w art. 21 ust. 5;</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art. 28 ust. 3 - w przypadku pracodawcy prowadzącego zakład pracy chronionej.</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Jeżeli zatrudnienie nowych pracowników niepełnosprawnych w danym miesiącu u pracodawcy wykonującego działalność gospodarczą nie powoduje u tego pracodawcy wzrostu netto zatrudnienia ogółem, miesięczne dofinansowanie na nowo zatrudnionego pracownika niepełnosprawnego nie przysługuje, jeżeli jego zatrudnienie nastąpiło w wyniku rozwiązania umowy o pracę z innym pracownikiem, chyba że umowa o pracę uległa rozwiązaniu:</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z przyczyn określonych w </w:t>
      </w:r>
      <w:r>
        <w:rPr>
          <w:rFonts w:ascii="Times New Roman"/>
          <w:b w:val="false"/>
          <w:i w:val="false"/>
          <w:color w:val="1b1b1b"/>
          <w:sz w:val="22"/>
          <w:lang w:val="pl-Pl"/>
        </w:rPr>
        <w:t>art. 52 § 1 pkt 1</w:t>
      </w:r>
      <w:r>
        <w:rPr>
          <w:rFonts w:ascii="Times New Roman"/>
          <w:b w:val="false"/>
          <w:i w:val="false"/>
          <w:color w:val="000000"/>
          <w:sz w:val="22"/>
          <w:lang w:val="pl-Pl"/>
        </w:rPr>
        <w:t xml:space="preserve"> ustawy z dnia 26 czerwca 1974 r. - Kodeks pracy;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 wypowiedzeniem złożonym przez pracownika;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na mocy porozumienia stron;</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wskutek przejścia pracownika na rentę z tytułu niezdolności do pracy;</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z upływem czasu, na który została zawarta;</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z dniem ukończenia pracy, dla której wykonania była zawarta.</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Jeżeli nie są spełnione warunki, o których mowa w ust. 4, miesięczne dofinansowanie na nowo zatrudnionego pracownika niepełnosprawnego przysługuje w przypadku gdy jego miejsce pracy powstało w wyniku:</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wygaśnięcia umowy o pracę;</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zmniejszenia wymiaru czasu pracy pracownika - na jego wniosek.</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Wzrost netto zatrudnienia ogółem ustala się w stosunku do przeciętnego zatrudnienia ogółem w okresie poprzedzających 12 miesięcy.</w:t>
      </w:r>
    </w:p>
    <w:p>
      <w:pPr>
        <w:spacing w:before="26" w:after="0"/>
        <w:ind w:left="0"/>
        <w:jc w:val="left"/>
        <w:textAlignment w:val="auto"/>
      </w:pPr>
      <w:r>
        <w:rPr>
          <w:rFonts w:ascii="Times New Roman"/>
          <w:b w:val="false"/>
          <w:i w:val="false"/>
          <w:color w:val="000000"/>
          <w:sz w:val="22"/>
          <w:lang w:val="pl-Pl"/>
        </w:rPr>
        <w:t xml:space="preserve">6a. </w:t>
      </w:r>
      <w:r>
        <w:rPr>
          <w:rFonts w:ascii="Times New Roman"/>
          <w:b w:val="false"/>
          <w:i w:val="false"/>
          <w:color w:val="000000"/>
          <w:sz w:val="22"/>
          <w:lang w:val="pl-Pl"/>
        </w:rPr>
        <w:t>Przepisu ust. 6 nie stosuje się w przypadku pracownika, którego niepełnosprawność powstała w trakcie zatrudnienia u pracodawcy ubiegającego się o miesięczne dofinansowanie.</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Miesięczne dofinansowanie nie przysługuje do wynagrodzenia pracownika w części finansowanej ze środków publicznych.</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Przepisu ust. 7 nie stosuje się w przypadku, gdy pracodawca sfinansował wynagrodzenie pracownika: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ze środków publicznych z prowadzonej działalności, o których mowa w </w:t>
      </w:r>
      <w:r>
        <w:rPr>
          <w:rFonts w:ascii="Times New Roman"/>
          <w:b w:val="false"/>
          <w:i w:val="false"/>
          <w:color w:val="1b1b1b"/>
          <w:sz w:val="22"/>
          <w:lang w:val="pl-Pl"/>
        </w:rPr>
        <w:t>art. 5 ust. 1 pkt 5</w:t>
      </w:r>
      <w:r>
        <w:rPr>
          <w:rFonts w:ascii="Times New Roman"/>
          <w:b w:val="false"/>
          <w:i w:val="false"/>
          <w:color w:val="000000"/>
          <w:sz w:val="22"/>
          <w:lang w:val="pl-Pl"/>
        </w:rPr>
        <w:t>,</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z dochodów publicznych, o których mowa w </w:t>
      </w:r>
      <w:r>
        <w:rPr>
          <w:rFonts w:ascii="Times New Roman"/>
          <w:b w:val="false"/>
          <w:i w:val="false"/>
          <w:color w:val="1b1b1b"/>
          <w:sz w:val="22"/>
          <w:lang w:val="pl-Pl"/>
        </w:rPr>
        <w:t>art. 5 ust. 2 pkt 3</w:t>
      </w:r>
    </w:p>
    <w:p>
      <w:pPr>
        <w:spacing w:before="25" w:after="0"/>
        <w:ind w:left="0"/>
        <w:jc w:val="both"/>
        <w:textAlignment w:val="auto"/>
      </w:pPr>
      <w:r>
        <w:rPr>
          <w:rFonts w:ascii="Times New Roman"/>
          <w:b w:val="false"/>
          <w:i w:val="false"/>
          <w:color w:val="000000"/>
          <w:sz w:val="22"/>
          <w:lang w:val="pl-Pl"/>
        </w:rPr>
        <w:t>- ustawy z dnia 27 sierpnia 2009 r. o finansach publicznych (Dz. U. z 2017 r. poz. 2077 oraz z 2018 r. poz. 62).</w:t>
      </w:r>
    </w:p>
    <w:p>
      <w:pPr>
        <w:spacing w:before="80" w:after="0"/>
        <w:ind w:left="0"/>
        <w:jc w:val="left"/>
        <w:textAlignment w:val="auto"/>
      </w:pPr>
      <w:r>
        <w:rPr>
          <w:rFonts w:ascii="Times New Roman"/>
          <w:b/>
          <w:i w:val="false"/>
          <w:color w:val="000000"/>
          <w:sz w:val="22"/>
          <w:lang w:val="pl-Pl"/>
        </w:rPr>
        <w:t xml:space="preserve">Art. 26c. </w:t>
      </w:r>
      <w:r>
        <w:rPr>
          <w:rFonts w:ascii="Times New Roman"/>
          <w:b/>
          <w:i w:val="false"/>
          <w:color w:val="000000"/>
          <w:sz w:val="22"/>
          <w:lang w:val="pl-Pl"/>
        </w:rPr>
        <w:t xml:space="preserve"> [Obowiązki informacyjne pracodawcy]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Pracodawca, o którym mowa w art. 26a, składa Funduszowi: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miesięczne informacje o wynagrodzeniach, zatrudnieniu, stopniach i rodzaju niepełnosprawności pracowników niepełnosprawnych;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wniosek o wypłatę miesięcznego dofinansowania za dany miesiąc;</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(uchylony).</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Informacje i wniosek, o których mowa w ust. 1, pracodawca przekazuje w formie dokumentu elektronicznego przez teletransmisję danych oraz pobiera drogą elektroniczną potwierdzenie wysłanej informacji lub wniosku. Pracodawca może przekazać informacje i wniosek również w formie dokumentu pisemnego.</w:t>
      </w:r>
    </w:p>
    <w:p>
      <w:pPr>
        <w:spacing w:before="26" w:after="0"/>
        <w:ind w:left="0"/>
        <w:jc w:val="left"/>
        <w:textAlignment w:val="auto"/>
      </w:pPr>
      <w:r>
        <w:rPr>
          <w:rFonts w:ascii="Times New Roman"/>
          <w:b w:val="false"/>
          <w:i w:val="false"/>
          <w:color w:val="000000"/>
          <w:sz w:val="22"/>
          <w:lang w:val="pl-Pl"/>
        </w:rPr>
        <w:t xml:space="preserve">1b.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terminie 25 dni od dnia otrzymania kompletnego i prawidłowo wypełnionego wniosku o wypłatę miesięcznego dofinansowania Fundusz przekazuje na rachunek bankowy pracodawcy miesięczne dofinansowanie w kwocie ustalonej na podstawie art. 26a i art. 26b oraz informuje pracodawcę o sposobie jej ustalenia, jeżeli kwota ta różni się od kwoty wskazanej we wniosku.</w:t>
      </w:r>
    </w:p>
    <w:p>
      <w:pPr>
        <w:spacing w:before="26" w:after="0"/>
        <w:ind w:left="0"/>
        <w:jc w:val="left"/>
        <w:textAlignment w:val="auto"/>
      </w:pPr>
      <w:r>
        <w:rPr>
          <w:rFonts w:ascii="Times New Roman"/>
          <w:b w:val="false"/>
          <w:i w:val="false"/>
          <w:color w:val="000000"/>
          <w:sz w:val="22"/>
          <w:lang w:val="pl-Pl"/>
        </w:rPr>
        <w:t xml:space="preserve">3a. </w:t>
      </w:r>
      <w:r>
        <w:rPr>
          <w:rFonts w:ascii="Times New Roman"/>
          <w:b w:val="false"/>
          <w:i w:val="false"/>
          <w:color w:val="000000"/>
          <w:sz w:val="22"/>
          <w:lang w:val="pl-Pl"/>
        </w:rPr>
        <w:t>W przypadku nieterminowego przekazania przez Fundusz kwoty miesięcznego dofinansowania od kwoty należnej nalicza się odsetki, w wysokości określonej jak dla zaległości podatkowych.</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przypadku gdy ustalona przez Fundusz kwota dofinansowania jest inna niż kwota dofinansowania wykazana we wniosku pracodawcy, Prezes Zarządu Funduszu wydaje decyzję o wysokości dofinansowania, na wniosek pracodawcy złożony w terminie 14 dni od dnia otrzymania informacji o ustaleniu wysokości przysługującego dofinansowania do wynagrodzenia.</w:t>
      </w:r>
    </w:p>
    <w:p>
      <w:pPr>
        <w:spacing w:before="26" w:after="0"/>
        <w:ind w:left="0"/>
        <w:jc w:val="left"/>
        <w:textAlignment w:val="auto"/>
      </w:pPr>
      <w:r>
        <w:rPr>
          <w:rFonts w:ascii="Times New Roman"/>
          <w:b w:val="false"/>
          <w:i w:val="false"/>
          <w:color w:val="000000"/>
          <w:sz w:val="22"/>
          <w:lang w:val="pl-Pl"/>
        </w:rPr>
        <w:t xml:space="preserve">4a.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4b. </w:t>
      </w:r>
      <w:r>
        <w:rPr>
          <w:rFonts w:ascii="Times New Roman"/>
          <w:b w:val="false"/>
          <w:i w:val="false"/>
          <w:color w:val="000000"/>
          <w:sz w:val="22"/>
          <w:vertAlign w:val="superscript"/>
          <w:lang w:val="pl-Pl"/>
        </w:rPr>
        <w:t>35</w:t>
      </w:r>
      <w:r>
        <w:rPr>
          <w:rFonts w:ascii="Times New Roman"/>
          <w:b w:val="false"/>
          <w:i w:val="false"/>
          <w:color w:val="000000"/>
          <w:sz w:val="22"/>
          <w:lang w:val="pl-Pl"/>
        </w:rPr>
        <w:t xml:space="preserve"> </w:t>
      </w:r>
      <w:r>
        <w:rPr>
          <w:rFonts w:ascii="Times New Roman"/>
          <w:b w:val="false"/>
          <w:i w:val="false"/>
          <w:color w:val="000000"/>
          <w:sz w:val="22"/>
          <w:lang w:val="pl-Pl"/>
        </w:rPr>
        <w:t xml:space="preserve"> Od decyzji, o której mowa w ust. 4, przysługuje wniosek o ponowne rozpatrzenie sprawy do Prezesa Zarządu Funduszu.</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szczegółowe warunki udzielania oraz tryb przekazywania miesięcznego dofinansowania,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terminy składania, wzory informacji i wniosku, o których mowa w ust. 1, oraz wykaz dokumentów załączanych do wniosku,</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wymogi, jakie muszą spełniać pracodawcy, przekazując dokumenty w formie elektronicznej przez teletransmisję danych</w:t>
      </w:r>
    </w:p>
    <w:p>
      <w:pPr>
        <w:spacing w:before="25" w:after="0"/>
        <w:ind w:left="0"/>
        <w:jc w:val="both"/>
        <w:textAlignment w:val="auto"/>
      </w:pPr>
      <w:r>
        <w:rPr>
          <w:rFonts w:ascii="Times New Roman"/>
          <w:b w:val="false"/>
          <w:i w:val="false"/>
          <w:color w:val="000000"/>
          <w:sz w:val="22"/>
          <w:lang w:val="pl-Pl"/>
        </w:rPr>
        <w:t>- uwzględniając potrzebę zapewnienia zgodności z warunkami dopuszczalności pomocy publicznej na zatrudnianie, określonymi w przepisach prawa Unii Europejskiej, zapewnienia jednolitych warunków niezbędnych do prawidłowego przekazywania dokumentów oraz określenia zakresu danych niezbędnych do udzielenia pomocy, a także racjonalnego gospodarowania środkami Funduszu.</w:t>
      </w:r>
    </w:p>
    <w:p>
      <w:pPr>
        <w:spacing w:before="80" w:after="0"/>
        <w:ind w:left="0"/>
        <w:jc w:val="left"/>
        <w:textAlignment w:val="auto"/>
      </w:pPr>
      <w:r>
        <w:rPr>
          <w:rFonts w:ascii="Times New Roman"/>
          <w:b/>
          <w:i w:val="false"/>
          <w:color w:val="000000"/>
          <w:sz w:val="22"/>
          <w:lang w:val="pl-Pl"/>
        </w:rPr>
        <w:t>Art. 26c</w:t>
      </w:r>
      <w:r>
        <w:rPr>
          <w:rFonts w:ascii="Times New Roman"/>
          <w:b/>
          <w:i w:val="false"/>
          <w:color w:val="000000"/>
          <w:sz w:val="22"/>
          <w:vertAlign w:val="superscript"/>
          <w:lang w:val="pl-Pl"/>
        </w:rPr>
        <w:t>1</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26d. </w:t>
      </w:r>
      <w:r>
        <w:rPr>
          <w:rFonts w:ascii="Times New Roman"/>
          <w:b/>
          <w:i w:val="false"/>
          <w:color w:val="000000"/>
          <w:sz w:val="22"/>
          <w:lang w:val="pl-Pl"/>
        </w:rPr>
        <w:t xml:space="preserve"> [Zwrot kosztów zatrudnienia lub szkolenia pracowników niepełnosprawnych]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Pracodawca, który zatrudnia pracownika niepełnosprawnego, może otrzymać ze środków Funduszu zwrot:</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miesięcznych kosztów zatrudnienia pracowników pomagających pracownikowi niepełnosprawnemu w pracy,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kosztów szkolenia tych pracowników</w:t>
      </w:r>
    </w:p>
    <w:p>
      <w:pPr>
        <w:spacing w:before="25" w:after="0"/>
        <w:ind w:left="0"/>
        <w:jc w:val="both"/>
        <w:textAlignment w:val="auto"/>
      </w:pPr>
      <w:r>
        <w:rPr>
          <w:rFonts w:ascii="Times New Roman"/>
          <w:b w:val="false"/>
          <w:i w:val="false"/>
          <w:color w:val="000000"/>
          <w:sz w:val="22"/>
          <w:lang w:val="pl-Pl"/>
        </w:rPr>
        <w:t>- w zakresie czynności ułatwiających komunikowanie się z otoczeniem, a także czynności niemożliwych lub trudnych do samodzielnego wykonania przez pracownika niepełnosprawnego na stanowisku pracy.</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Wysokość zwrotu miesięcznych kosztów zatrudnienia pracowników pomagających pracownikowi niepełnosprawnemu w pracy stanowi iloczyn kwoty najniższego wynagrodzenia i ilorazu liczby godzin w miesiącu przeznaczonych wyłącznie na pomoc pracownikowi niepełnosprawnemu i miesięcznej liczby godzin pracy pracownika niepełnosprawnego w miesiącu, z zastrzeżeniem ust. 3.</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Zwrot kosztów szkolenia pracowników pomagających pracownikowi niepełnosprawnemu w pracy obejmuje 100% kosztów szkolenia, nie więcej jednak niż równowartość kwoty najniższego wynagrodzenia.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Liczba godzin przeznaczonych wyłącznie na pomoc pracownikowi niepełnosprawnemu nie może przekraczać liczby godzin odpowiadającej 20% liczby godzin pracy pracownika w miesiącu.</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Przepisy art. 26 ust. 4-6 stosuje się odpowiednio.</w:t>
      </w:r>
    </w:p>
    <w:p>
      <w:pPr>
        <w:spacing w:before="80" w:after="0"/>
        <w:ind w:left="0"/>
        <w:jc w:val="left"/>
        <w:textAlignment w:val="auto"/>
      </w:pPr>
      <w:r>
        <w:rPr>
          <w:rFonts w:ascii="Times New Roman"/>
          <w:b/>
          <w:i w:val="false"/>
          <w:color w:val="000000"/>
          <w:sz w:val="22"/>
          <w:lang w:val="pl-Pl"/>
        </w:rPr>
        <w:t xml:space="preserve">Art. 26e. </w:t>
      </w:r>
      <w:r>
        <w:rPr>
          <w:rFonts w:ascii="Times New Roman"/>
          <w:b/>
          <w:i w:val="false"/>
          <w:color w:val="000000"/>
          <w:sz w:val="22"/>
          <w:lang w:val="pl-Pl"/>
        </w:rPr>
        <w:t xml:space="preserve"> [Zwrot kosztów wyposażenia stanowiska pracy]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Pracodawca, który przez okres co najmniej 36 miesięcy zatrudni osobę niepełnosprawną zarejestrowaną w powiatowym urzędzie pracy jako bezrobotna albo poszukująca pracy niepozostającą w zatrudnieniu, może otrzymać, na wniosek, ze środków Funduszu zwrot kosztów wyposażenia stanowiska pracy do wysokości piętnastokrotnego przeciętnego wynagrodzenia.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Zwrotu kosztów, o których mowa w ust. 1, dokonuje starosta na warunkach i w wysokości określonych umową zawartą z pracodawcą, z tym że zwrotowi nie podlegają koszty poniesione przed dniem zawarcia umowy.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Umowy z pracodawcą, którym jest starosta, zawiera Prezes Zarządu Funduszu.</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Warunkiem zwrotu kosztów, o których mowa w ust. 1, jest uzyskanie, wydanej na wniosek starosty, pozytywnej opinii Państwowej Inspekcji Pracy odpowiednio o przystosowaniu do potrzeb wynikających z niepełnosprawności osoby zatrudnionej na wyposażanym stanowisku pracy lub o spełnieniu warunków bezpieczeństwa i higieny pracy na tym stanowisku.</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Jeżeli okres zatrudnienia osoby niepełnosprawnej będzie krótszy niż 36 miesięcy, pracodawca jest obowiązany zwrócić Funduszowi za pośrednictwem starosty środki w wysokości równej 1/36 ogólnej kwoty zwrotu za każdy miesiąc brakujący do upływu okresu, o którym mowa w ust. 1, jednak w wysokości nie mniejszej niż 1/6 tej kwoty. Pracodawca dokonuje zwrotu w terminie 3 miesięcy od dnia rozwiązania stosunku pracy z osobą niepełnosprawną.</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Pracodawca nie zwraca środków, o których mowa w ust. 5, jeżeli zatrudni w terminie 3 miesięcy od dnia rozwiązania stosunku pracy z osobą niepełnosprawną inną osobę niepełnosprawną, zarejestrowaną w powiatowym urzędzie pracy jako bezrobotna lub poszukująca pracy i niepozostającą w zatrudnieniu, przy czym wynikająca z tego powodu przerwa nie jest wliczana do okresu, o którym mowa w ust. 1.</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tryb postępowania w sprawach, o których mowa w ust. 1-6,</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wzór wniosku i elementy umowy oraz dokumentację niezbędną do zwrotu kosztów, o których mowa w ust. 1,</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sposób i terminy rozpatrywania wniosków, o których mowa w ust. 1,</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formy zabezpieczenia zwrotu otrzymanych środków w przypadku niedotrzymania warunków umowy dotyczących ich przyznania</w:t>
      </w:r>
    </w:p>
    <w:p>
      <w:pPr>
        <w:spacing w:before="25" w:after="0"/>
        <w:ind w:left="0"/>
        <w:jc w:val="both"/>
        <w:textAlignment w:val="auto"/>
      </w:pPr>
      <w:r>
        <w:rPr>
          <w:rFonts w:ascii="Times New Roman"/>
          <w:b w:val="false"/>
          <w:i w:val="false"/>
          <w:color w:val="000000"/>
          <w:sz w:val="22"/>
          <w:lang w:val="pl-Pl"/>
        </w:rPr>
        <w:t>- mając na względzie zwiększenie poziomu zatrudnienia osób niepełnosprawnych, dokonywanie zwrotu kosztów zgodnie z zasadami udzielania pomocy w ramach zasady de minimis oraz racjonalne gospodarowanie środkami Funduszu.</w:t>
      </w:r>
    </w:p>
    <w:p>
      <w:pPr>
        <w:spacing w:before="80" w:after="0"/>
        <w:ind w:left="0"/>
        <w:jc w:val="left"/>
        <w:textAlignment w:val="auto"/>
      </w:pPr>
      <w:r>
        <w:rPr>
          <w:rFonts w:ascii="Times New Roman"/>
          <w:b/>
          <w:i w:val="false"/>
          <w:color w:val="000000"/>
          <w:sz w:val="22"/>
          <w:lang w:val="pl-Pl"/>
        </w:rPr>
        <w:t xml:space="preserve">Art. 26f.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26g. </w:t>
      </w:r>
      <w:r>
        <w:rPr>
          <w:rFonts w:ascii="Times New Roman"/>
          <w:b/>
          <w:i w:val="false"/>
          <w:color w:val="000000"/>
          <w:sz w:val="22"/>
          <w:vertAlign w:val="superscript"/>
          <w:lang w:val="pl-Pl"/>
        </w:rPr>
        <w:t>36</w:t>
      </w:r>
      <w:r>
        <w:rPr>
          <w:rFonts w:ascii="Times New Roman"/>
          <w:b/>
          <w:i w:val="false"/>
          <w:color w:val="000000"/>
          <w:sz w:val="22"/>
          <w:lang w:val="pl-Pl"/>
        </w:rPr>
        <w:t xml:space="preserve"> </w:t>
      </w:r>
      <w:r>
        <w:rPr>
          <w:rFonts w:ascii="Times New Roman"/>
          <w:b/>
          <w:i w:val="false"/>
          <w:color w:val="000000"/>
          <w:sz w:val="22"/>
          <w:lang w:val="pl-Pl"/>
        </w:rPr>
        <w:t xml:space="preserve"> [Pomoc ze środków Funduszu udzielana spółdzielni socjalnej]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Spółdzielnia socjalna może otrzymać ze środków Funduszu:</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jednorazowo środki na utworzenie stanowiska pracy dla skierowanej przez powiatowy urząd pracy osoby niepełnosprawnej, o której mowa w art. 11 ust. 1, w wysokości określonej w umowie, zawartej ze starostą:</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nie wyższej jednak niż sześciokrotność przeciętnego wynagrodzenia, w przypadku zobowiązania do utrzymania zatrudnienia osoby niepełnosprawnej, o której mowa w art. 11 ust. 1, na utworzonym stanowisku pracy nieprzerwanie przez okres co najmniej 12 miesięcy,</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wynoszącej od sześciokrotności do piętnastokrotności przeciętnego wynagrodzenia, w przypadku zobowiązania do utrzymania zatrudnienia osoby niepełnosprawnej, o której mowa w art. 11 ust. 1, na utworzonym stanowisku pracy nieprzerwanie przez okres co najmniej 24 miesięcy</w:t>
      </w:r>
    </w:p>
    <w:p>
      <w:pPr>
        <w:spacing w:before="25" w:after="0"/>
        <w:ind w:left="373"/>
        <w:jc w:val="both"/>
        <w:textAlignment w:val="auto"/>
      </w:pPr>
      <w:r>
        <w:rPr>
          <w:rFonts w:ascii="Times New Roman"/>
          <w:b w:val="false"/>
          <w:i w:val="false"/>
          <w:color w:val="000000"/>
          <w:sz w:val="22"/>
          <w:lang w:val="pl-Pl"/>
        </w:rPr>
        <w:t>- jeżeli nie otrzymała bezzwrotnych środków publicznych na ten cel;</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środki na finansowanie kosztów wynagrodzenia, w okresie do 6 miesięcy od dnia zawarcia umowy ze starostą, wypłacane miesięcznie w wysokości nie wyższej niż kwota najniższego wynagrodzenia przez okres nie dłuższy niż 6 miesięcy, dla zatrudnionej skierowanej przez powiatowy urząd pracy osoby niepełnosprawnej, o której mowa w art. 11 ust. 1.</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Jeżeli okres zatrudnienia osoby niepełnosprawnej, o której mowa w art. 11 ust. 1, będzie krótszy niż okres wskazany w ust. 1 pkt 1 lit. a, spółdzielnia socjalna jest obowiązana zwrócić Funduszowi za pośrednictwem starosty środki w wysokości równej 1/12 ogólnej kwoty zwrotu za każdy miesiąc brakujący do upływu okresu, o którym mowa w ust. 1 pkt 1 lit. a, jednak w wysokości nie mniejszej niż 1/6 tej kwoty. Spółdzielnia socjalna dokonuje zwrotu w terminie 3 miesięcy od dnia rozwiązania stosunku pracy z osobą niepełnosprawną.</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Jeżeli okres zatrudnienia osoby niepełnosprawnej, o której mowa w art. 11 ust. 1, będzie krótszy niż okres wskazany w ust. 1 pkt 1 lit. b, spółdzielnia socjalna jest obowiązana zwrócić Funduszowi za pośrednictwem starosty środki w wysokości równej 1/24 ogólnej kwoty zwrotu za każdy miesiąc brakujący do upływu okresu, o którym mowa w ust. 1 pkt 1 lit. b, jednak w wysokości nie mniejszej niż 1/6 tej kwoty. Spółdzielnia socjalna dokonuje zwrotu w terminie 3 miesięcy od dnia rozwiązania stosunku pracy z osobą niepełnosprawną.</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Spółdzielnia socjalna nie zwraca środków, o których mowa w ust. 1, jeżeli zatrudni w terminie 3 miesięcy od dnia rozwiązania stosunku pracy z osobą niepełnosprawną inną osobę niepełnosprawną, zarejestrowaną w powiatowym urzędzie pracy jako bezrobotna lub poszukująca pracy niepozostająca w zatrudnieniu, przy czym wynikająca z tego powodu przerwa nie jest wliczana do okresów, o których mowa w ust. 1 pkt 1.</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szczegółowe warunki i tryb przyznawania spółdzielni socjalnej jednorazowo środków na utworzenie stanowiska pracy dla skierowanej osoby niepełnosprawnej, o której mowa w art. 11 ust. 1,</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szczegółowe warunki i tryb przyznawania spółdzielni socjalnej środków na finansowanie kosztów wynagrodzenia, o których mowa w ust. 1 pkt 2,</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formy zabezpieczenia zwrotu środków na utworzenie stanowiska pracy dla skierowanej osoby niepełnosprawnej, o której mowa w art. 11 ust. 1, lub finansowanie kosztów wynagrodzenia w przypadku niedotrzymania warunków umowy dotyczącej ich przyznania</w:t>
      </w:r>
    </w:p>
    <w:p>
      <w:pPr>
        <w:spacing w:before="25" w:after="0"/>
        <w:ind w:left="0"/>
        <w:jc w:val="both"/>
        <w:textAlignment w:val="auto"/>
      </w:pPr>
      <w:r>
        <w:rPr>
          <w:rFonts w:ascii="Times New Roman"/>
          <w:b w:val="false"/>
          <w:i w:val="false"/>
          <w:color w:val="000000"/>
          <w:sz w:val="22"/>
          <w:lang w:val="pl-Pl"/>
        </w:rPr>
        <w:t>- mając na względzie zwiększenie mobilności oraz poziomu zatrudnienia osób niepełnosprawnych, o których mowa w art. 11 ust. 1, racjonalne gospodarowanie środkami Funduszu, a także konieczność zapewnienia zgodności udzielania pomocy z zasadami przyznawania pomocy de minimis w przypadku wypłaty środków na utworzenie stanowiska pracy dla skierowanej osoby niepełnosprawnej, o której mowa w art. 11 ust. 1, oraz w przypadku wypłaty środków na finansowanie kosztów wynagrodzenia.</w:t>
      </w:r>
    </w:p>
    <w:p>
      <w:pPr>
        <w:spacing w:before="80" w:after="0"/>
        <w:ind w:left="0"/>
        <w:jc w:val="left"/>
        <w:textAlignment w:val="auto"/>
      </w:pPr>
      <w:r>
        <w:rPr>
          <w:rFonts w:ascii="Times New Roman"/>
          <w:b/>
          <w:i w:val="false"/>
          <w:color w:val="000000"/>
          <w:sz w:val="22"/>
          <w:lang w:val="pl-Pl"/>
        </w:rPr>
        <w:t xml:space="preserve">Art. 27. </w:t>
      </w:r>
    </w:p>
    <w:p>
      <w:pPr>
        <w:spacing w:after="0"/>
        <w:ind w:left="0"/>
        <w:jc w:val="left"/>
        <w:textAlignment w:val="auto"/>
      </w:pPr>
      <w:r>
        <w:rPr>
          <w:rFonts w:ascii="Times New Roman"/>
          <w:b w:val="false"/>
          <w:i w:val="false"/>
          <w:color w:val="000000"/>
          <w:sz w:val="22"/>
          <w:lang w:val="pl-Pl"/>
        </w:rPr>
        <w:t>(uchylony).</w:t>
      </w:r>
    </w:p>
    <w:p>
      <w:pPr>
        <w:spacing w:before="146" w:after="0"/>
        <w:ind w:left="0"/>
        <w:jc w:val="center"/>
        <w:textAlignment w:val="auto"/>
      </w:pPr>
      <w:r>
        <w:rPr>
          <w:rFonts w:ascii="Times New Roman"/>
          <w:b/>
          <w:i w:val="false"/>
          <w:color w:val="000000"/>
          <w:sz w:val="22"/>
          <w:lang w:val="pl-Pl"/>
        </w:rPr>
        <w:t xml:space="preserve">Rozdział 6 </w:t>
      </w:r>
    </w:p>
    <w:p>
      <w:pPr>
        <w:spacing w:before="25" w:after="0"/>
        <w:ind w:left="0"/>
        <w:jc w:val="center"/>
        <w:textAlignment w:val="auto"/>
      </w:pPr>
      <w:r>
        <w:rPr>
          <w:rFonts w:ascii="Times New Roman"/>
          <w:b/>
          <w:i w:val="false"/>
          <w:color w:val="000000"/>
          <w:sz w:val="22"/>
          <w:lang w:val="pl-Pl"/>
        </w:rPr>
        <w:t>Zakłady pracy chronionej i zakłady aktywności zawodowej</w:t>
      </w:r>
    </w:p>
    <w:p>
      <w:pPr>
        <w:spacing w:before="80" w:after="0"/>
        <w:ind w:left="0"/>
        <w:jc w:val="left"/>
        <w:textAlignment w:val="auto"/>
      </w:pPr>
      <w:r>
        <w:rPr>
          <w:rFonts w:ascii="Times New Roman"/>
          <w:b/>
          <w:i w:val="false"/>
          <w:color w:val="000000"/>
          <w:sz w:val="22"/>
          <w:lang w:val="pl-Pl"/>
        </w:rPr>
        <w:t xml:space="preserve">Art. 28. </w:t>
      </w:r>
      <w:r>
        <w:rPr>
          <w:rFonts w:ascii="Times New Roman"/>
          <w:b/>
          <w:i w:val="false"/>
          <w:color w:val="000000"/>
          <w:sz w:val="22"/>
          <w:lang w:val="pl-Pl"/>
        </w:rPr>
        <w:t xml:space="preserve"> [Status pracodawcy prowadzącego zakład pracy chronionej]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Pracodawca prowadzący działalność gospodarczą przez okres co najmniej 12 miesięcy, zatrudniający nie mniej niż 25 pracowników w przeliczeniu na pełny wymiar czasu pracy i osiągający wskaźniki zatrudnienia osób niepełnosprawnych, o których mowa w pkt 1, przez okres co najmniej 6 miesięcy, uzyskuje status pracodawcy prowadzącego zakład pracy chronionej, jeżeli: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wskaźnik zatrudnienia osób niepełnosprawnych wynosi:</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co najmniej 50%, a w tym co najmniej 20% ogółu zatrudnionych stanowią osoby zaliczone do znacznego lub umiarkowanego stopnia niepełnosprawności, albo</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co najmniej 30% niewidomych lub psychicznie chorych, albo upośledzonych umysłowo zaliczonych do znacznego albo umiarkowanego stopnia niepełnosprawności;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obiekty i pomieszczenia użytkowane przez zakład pracy:</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odpowiadają przepisom i zasadom bezpieczeństwa i higieny pracy,</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uwzględniają potrzeby osób niepełnosprawnych w zakresie przystosowania stanowisk pracy, pomieszczeń higienicznosanitarnych i ciągów komunikacyjnych oraz spełniają wymagania dostępności do nich,</w:t>
      </w:r>
    </w:p>
    <w:p>
      <w:pPr>
        <w:spacing w:before="25" w:after="0"/>
        <w:ind w:left="373"/>
        <w:jc w:val="both"/>
        <w:textAlignment w:val="auto"/>
      </w:pPr>
      <w:r>
        <w:rPr>
          <w:rFonts w:ascii="Times New Roman"/>
          <w:b w:val="false"/>
          <w:i w:val="false"/>
          <w:color w:val="000000"/>
          <w:sz w:val="22"/>
          <w:lang w:val="pl-Pl"/>
        </w:rPr>
        <w:t>a także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jest zapewniona doraźna i specjalistyczna opieka medyczna, poradnictwo i usługi rehabilitacyjne;</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wystąpi z wnioskiem o przyznanie statusu pracodawcy prowadzącego zakład pracy chronionej.</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Spółdzielnia socjalna, powstała w wyniku przekształcenia spółdzielni inwalidów lub spółdzielni niewidomych mającej status pracodawcy prowadzącego zakład pracy chronionej, uzyskuje status pracodawcy prowadzącego zakład pracy chronionej, jeżeli wystąpi z wnioskiem o nadanie takiego statusu w terminie 3 miesięcy od daty wpisu tej spółdzielni do Krajowego Rejestru Sądowego.</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Okoliczności, o których mowa w ust. 1 pkt 2, stwierdza na wniosek pracodawcy Państwowa Inspekcja Pracy, z wyjątkiem okoliczności, o których mowa w ust. 1 pkt 2 lit. b w stosunku do osób zatrudnionych w dozorze i ochronie mienia.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 pracowników, o których mowa w ust. 1 pkt 1, zalicza się, z zastrzeżeniem ust. 4-6, także osoby niepełnosprawne wykonujące pracę nakładczą, jeżeli ich wynagrodzenie zostało ustalone co najmniej w wysokości: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najniższego wynagrodzenia - w stosunku do wykonawców, dla których praca nakładcza stanowi jedyne źródło utrzymania;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połowy najniższego wynagrodzenia - w stosunku do pozostałych wykonawców.</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Wymiar czasu pracy zatrudnionych, o których mowa w ust. 3, ustala się jako iloraz wysokości ustalonego wynagrodzenia i najniższego wynagrodzenia.</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Maksymalny wymiar czasu pracy ustalony na podstawie ust. 4 nie może przekraczać jednego etatu.</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Przepis art. 21 ust. 5 stosuje się odpowiednio.</w:t>
      </w:r>
    </w:p>
    <w:p>
      <w:pPr>
        <w:spacing w:before="80" w:after="0"/>
        <w:ind w:left="0"/>
        <w:jc w:val="left"/>
        <w:textAlignment w:val="auto"/>
      </w:pPr>
      <w:r>
        <w:rPr>
          <w:rFonts w:ascii="Times New Roman"/>
          <w:b/>
          <w:i w:val="false"/>
          <w:color w:val="000000"/>
          <w:sz w:val="22"/>
          <w:lang w:val="pl-Pl"/>
        </w:rPr>
        <w:t xml:space="preserve">Art. 29. </w:t>
      </w:r>
      <w:r>
        <w:rPr>
          <w:rFonts w:ascii="Times New Roman"/>
          <w:b/>
          <w:i w:val="false"/>
          <w:color w:val="000000"/>
          <w:sz w:val="22"/>
          <w:lang w:val="pl-Pl"/>
        </w:rPr>
        <w:t xml:space="preserve"> [Status zakładu aktywności zawodowej]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Gmina, powiat oraz fundacja, stowarzyszenie lub inna organizacja społeczna, której statutowym zadaniem jest rehabilitacja zawodowa i społeczna osób niepełnosprawnych, zwane dalej "organizatorem", może utworzyć wyodrębnioną organizacyjnie i finansowo jednostkę i uzyskać dla tej jednostki status zakładu aktywności zawodowej, jeżeli: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co najmniej 70% ogółu osób zatrudnionych w tej jednostce stanowią osoby niepełnosprawne, w szczególności skierowane do pracy przez powiatowe urzędy pracy:</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zaliczone do znacznego stopnia niepełnosprawności,</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zaliczone do umiarkowanego stopnia niepełnosprawności, u których stwierdzono autyzm, upośledzenie umysłowe lub chorobę psychiczną, w tym osób, w stosunku do których rada programowa, o której mowa w art. 10a ust. 4, zajęła stanowisko uzasadniające podjęcie zatrudnienia i kontynuowanie rehabilitacji zawodowej w warunkach pracy chronionej;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spełnia warunki, o których mowa w art. 28 ust. 1 pkt 2 i 3;</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przeznacza uzyskane dochody na zakładowy fundusz aktywności;</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uzyska pozytywną opinię starosty o potrzebie utworzenia zakładu aktywności zawodowej, z wyjątkiem przypadku, gdy organizatorem jest powiat.</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Stan zatrudnienia osób niepełnosprawnych, o których mowa w ust. 1 pkt 1 lit. b, nie może być wyższy niż 35% ogółu zatrudnionych.</w:t>
      </w:r>
    </w:p>
    <w:p>
      <w:pPr>
        <w:spacing w:before="26" w:after="0"/>
        <w:ind w:left="0"/>
        <w:jc w:val="left"/>
        <w:textAlignment w:val="auto"/>
      </w:pPr>
      <w:r>
        <w:rPr>
          <w:rFonts w:ascii="Times New Roman"/>
          <w:b w:val="false"/>
          <w:i w:val="false"/>
          <w:color w:val="000000"/>
          <w:sz w:val="22"/>
          <w:lang w:val="pl-Pl"/>
        </w:rPr>
        <w:t xml:space="preserve">1b. </w:t>
      </w:r>
      <w:r>
        <w:rPr>
          <w:rFonts w:ascii="Times New Roman"/>
          <w:b w:val="false"/>
          <w:i w:val="false"/>
          <w:color w:val="000000"/>
          <w:sz w:val="22"/>
          <w:lang w:val="pl-Pl"/>
        </w:rPr>
        <w:t>Stany zatrudnienia stanowiące podstawę do wyliczenia wskaźników określonych w ust. 1 pkt 1 i ust. 1a ustala się w osobach. Do stanów zatrudnienia nie wlicza się osób, o których mowa w art. 21 ust. 5.</w:t>
      </w:r>
    </w:p>
    <w:p>
      <w:pPr>
        <w:spacing w:before="26" w:after="0"/>
        <w:ind w:left="0"/>
        <w:jc w:val="left"/>
        <w:textAlignment w:val="auto"/>
      </w:pPr>
      <w:r>
        <w:rPr>
          <w:rFonts w:ascii="Times New Roman"/>
          <w:b w:val="false"/>
          <w:i w:val="false"/>
          <w:color w:val="000000"/>
          <w:sz w:val="22"/>
          <w:lang w:val="pl-Pl"/>
        </w:rPr>
        <w:t xml:space="preserve">1c. </w:t>
      </w:r>
      <w:r>
        <w:rPr>
          <w:rFonts w:ascii="Times New Roman"/>
          <w:b w:val="false"/>
          <w:i w:val="false"/>
          <w:color w:val="000000"/>
          <w:sz w:val="22"/>
          <w:lang w:val="pl-Pl"/>
        </w:rPr>
        <w:t>Wojewoda, w drodze decyzji, zwalnia na czas określony, nie dłużej niż na trzy miesiące, organizatora zakładu aktywności zawodowej od spełniania warunku, o którym mowa w ust. 1 pkt 1 lit. a, jeżeli naruszenie tego warunku nastąpiło z przyczyn niezależnych od pracodawcy a właściwy powiatowy urząd pracy nie może skierować wymaganej liczby osób niepełnosprawnych, o których mowa w ust. 1, do pracy w tym zakładzie.</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Koszty: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utworzenia zakładów aktywności zawodowej są współfinansowane ze środków Funduszu, z zastrzeżeniem art. 68c ust. 2 pkt 2, organizatora i innych źródeł; zakłady te nie mogą prowadzić działalności polegającej na wytwarzaniu wyrobów przemysłu paliwowego, tytoniowego, spirytusowego, winiarskiego, piwowarskiego, a także pozostałych wyrobów alkoholowych o zawartości alkoholu powyżej 1,5% oraz wyrobów z metali szlachetnych albo z udziałem tych metali lub handlu tymi wyrobami;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działania zakładów aktywności zawodowej są współfinansowane ze środków Funduszu, z zastrzeżeniem art. 68c ust. 2 pkt 1, oraz ze środków samorządu województwa w wysokości co najmniej 10%, z tym że procentowy udział samorządu województwa w kosztach może być zmniejszany, pod warunkiem znalezienia innych źródeł finansowania działania zakładu aktywności zawodowej.</w:t>
      </w:r>
    </w:p>
    <w:p>
      <w:pPr>
        <w:spacing w:before="26" w:after="0"/>
        <w:ind w:left="0"/>
        <w:jc w:val="left"/>
        <w:textAlignment w:val="auto"/>
      </w:pPr>
      <w:r>
        <w:rPr>
          <w:rFonts w:ascii="Times New Roman"/>
          <w:b w:val="false"/>
          <w:i w:val="false"/>
          <w:color w:val="000000"/>
          <w:sz w:val="22"/>
          <w:lang w:val="pl-Pl"/>
        </w:rPr>
        <w:t xml:space="preserve">3a. </w:t>
      </w:r>
      <w:r>
        <w:rPr>
          <w:rFonts w:ascii="Times New Roman"/>
          <w:b w:val="false"/>
          <w:i w:val="false"/>
          <w:color w:val="000000"/>
          <w:sz w:val="22"/>
          <w:lang w:val="pl-Pl"/>
        </w:rPr>
        <w:t>Dofinansowania ze środków Funduszu kosztów, o których mowa w ust. 3, dokonuje samorząd województwa na warunkach i w wysokości określonych umową zawartą z jednostką określoną w ust. 1.</w:t>
      </w:r>
    </w:p>
    <w:p>
      <w:pPr>
        <w:spacing w:before="26" w:after="0"/>
        <w:ind w:left="0"/>
        <w:jc w:val="left"/>
        <w:textAlignment w:val="auto"/>
      </w:pPr>
      <w:r>
        <w:rPr>
          <w:rFonts w:ascii="Times New Roman"/>
          <w:b w:val="false"/>
          <w:i w:val="false"/>
          <w:color w:val="000000"/>
          <w:sz w:val="22"/>
          <w:lang w:val="pl-Pl"/>
        </w:rPr>
        <w:t>3a</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w:t>
      </w:r>
      <w:r>
        <w:rPr>
          <w:rFonts w:ascii="Times New Roman"/>
          <w:b w:val="false"/>
          <w:i w:val="false"/>
          <w:color w:val="000000"/>
          <w:sz w:val="22"/>
          <w:lang w:val="pl-Pl"/>
        </w:rPr>
        <w:t>W przypadku wydatkowania zakładowego funduszu aktywności niezgodnie z przepisami wydanymi na podstawie art. 29 ust. 4 lub w razie nieprzekazania niewykorzystanych środków zakładowego funduszu aktywności na wyodrębniony rachunek bankowy tego funduszu w terminie do dnia 31 grudnia roku, w którym uzyskano te środki, pracodawca jest obowiązany do dokonania: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zwrotu 100% kwoty tych środków na zakładowy fundusz aktywności oraz</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wpłaty w wysokości 30% tych środków na Fundusz w terminie do 20. dnia miesiąca następującego po miesiącu, w którym nastąpiło ujawnienie odpowiednio wydatkowania zakładowego funduszu aktywności niezgodnego z przepisami wydanymi na podstawie art. 29 ust. 4 lub niedotrzymania terminu do przekazania niewykorzystanych środków zakładowego funduszu aktywności na wyodrębniony rachunek bankowy.</w:t>
      </w:r>
    </w:p>
    <w:p>
      <w:pPr>
        <w:spacing w:before="26" w:after="0"/>
        <w:ind w:left="0"/>
        <w:jc w:val="left"/>
        <w:textAlignment w:val="auto"/>
      </w:pPr>
      <w:r>
        <w:rPr>
          <w:rFonts w:ascii="Times New Roman"/>
          <w:b w:val="false"/>
          <w:i w:val="false"/>
          <w:color w:val="000000"/>
          <w:sz w:val="22"/>
          <w:lang w:val="pl-Pl"/>
        </w:rPr>
        <w:t>3a</w:t>
      </w:r>
      <w:r>
        <w:rPr>
          <w:rFonts w:ascii="Times New Roman"/>
          <w:b w:val="false"/>
          <w:i w:val="false"/>
          <w:color w:val="000000"/>
          <w:sz w:val="22"/>
          <w:vertAlign w:val="superscript"/>
          <w:lang w:val="pl-Pl"/>
        </w:rPr>
        <w:t>2</w:t>
      </w:r>
      <w:r>
        <w:rPr>
          <w:rFonts w:ascii="Times New Roman"/>
          <w:b w:val="false"/>
          <w:i w:val="false"/>
          <w:color w:val="000000"/>
          <w:sz w:val="22"/>
          <w:lang w:val="pl-Pl"/>
        </w:rPr>
        <w:t xml:space="preserve">. </w:t>
      </w:r>
      <w:r>
        <w:rPr>
          <w:rFonts w:ascii="Times New Roman"/>
          <w:b w:val="false"/>
          <w:i w:val="false"/>
          <w:color w:val="000000"/>
          <w:sz w:val="22"/>
          <w:lang w:val="pl-Pl"/>
        </w:rPr>
        <w:t>Wpłata, o której mowa w ust. 3a</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pkt 2 nie obciąża zakładowego funduszu aktywności.</w:t>
      </w:r>
    </w:p>
    <w:p>
      <w:pPr>
        <w:spacing w:before="26" w:after="0"/>
        <w:ind w:left="0"/>
        <w:jc w:val="left"/>
        <w:textAlignment w:val="auto"/>
      </w:pPr>
      <w:r>
        <w:rPr>
          <w:rFonts w:ascii="Times New Roman"/>
          <w:b w:val="false"/>
          <w:i w:val="false"/>
          <w:color w:val="000000"/>
          <w:sz w:val="22"/>
          <w:lang w:val="pl-Pl"/>
        </w:rPr>
        <w:t>3a</w:t>
      </w:r>
      <w:r>
        <w:rPr>
          <w:rFonts w:ascii="Times New Roman"/>
          <w:b w:val="false"/>
          <w:i w:val="false"/>
          <w:color w:val="000000"/>
          <w:sz w:val="22"/>
          <w:vertAlign w:val="superscript"/>
          <w:lang w:val="pl-Pl"/>
        </w:rPr>
        <w:t>3</w:t>
      </w:r>
      <w:r>
        <w:rPr>
          <w:rFonts w:ascii="Times New Roman"/>
          <w:b w:val="false"/>
          <w:i w:val="false"/>
          <w:color w:val="000000"/>
          <w:sz w:val="22"/>
          <w:lang w:val="pl-Pl"/>
        </w:rPr>
        <w:t xml:space="preserve">. </w:t>
      </w:r>
      <w:r>
        <w:rPr>
          <w:rFonts w:ascii="Times New Roman"/>
          <w:b w:val="false"/>
          <w:i w:val="false"/>
          <w:color w:val="000000"/>
          <w:sz w:val="22"/>
          <w:lang w:val="pl-Pl"/>
        </w:rPr>
        <w:t>Środki zakładowego funduszu aktywności nie podlegają egzekucji sądowej ani administracyjnej oraz nie mogą być obciążane w jakikolwiek sposób, z wyjątkiem wydatkowania środków tego funduszu w sposób określony w akcie wykonawczym wydanym na podstawie art. 29 ust. 4.</w:t>
      </w:r>
    </w:p>
    <w:p>
      <w:pPr>
        <w:spacing w:before="26" w:after="0"/>
        <w:ind w:left="0"/>
        <w:jc w:val="left"/>
        <w:textAlignment w:val="auto"/>
      </w:pPr>
      <w:r>
        <w:rPr>
          <w:rFonts w:ascii="Times New Roman"/>
          <w:b w:val="false"/>
          <w:i w:val="false"/>
          <w:color w:val="000000"/>
          <w:sz w:val="22"/>
          <w:lang w:val="pl-Pl"/>
        </w:rPr>
        <w:t xml:space="preserve">3b. </w:t>
      </w:r>
      <w:r>
        <w:rPr>
          <w:rFonts w:ascii="Times New Roman"/>
          <w:b w:val="false"/>
          <w:i w:val="false"/>
          <w:color w:val="000000"/>
          <w:sz w:val="22"/>
          <w:lang w:val="pl-Pl"/>
        </w:rPr>
        <w:t>W razie likwidacji lub utraty statusu zakładu aktywności zawodowej, wykreślenia organizatora z ewidencji działalności gospodarczej lub Krajowego Rejestru Sądowego, likwidacji lub upadłości organizatora zakładu aktywności zawodowej środki publiczne otrzymane na utworzenie zakładu, niewykorzystane środki Funduszu oraz niewykorzystane według stanu na dzień zaistnienia którejkolwiek z tych okoliczności środki zakładowego funduszu aktywności podlegają niezwłocznie wpłacie do Funduszu, z zastrzeżeniem ust. 3c.</w:t>
      </w:r>
    </w:p>
    <w:p>
      <w:pPr>
        <w:spacing w:before="26" w:after="0"/>
        <w:ind w:left="0"/>
        <w:jc w:val="left"/>
        <w:textAlignment w:val="auto"/>
      </w:pPr>
      <w:r>
        <w:rPr>
          <w:rFonts w:ascii="Times New Roman"/>
          <w:b w:val="false"/>
          <w:i w:val="false"/>
          <w:color w:val="000000"/>
          <w:sz w:val="22"/>
          <w:lang w:val="pl-Pl"/>
        </w:rPr>
        <w:t xml:space="preserve">3c. </w:t>
      </w:r>
      <w:r>
        <w:rPr>
          <w:rFonts w:ascii="Times New Roman"/>
          <w:b w:val="false"/>
          <w:i w:val="false"/>
          <w:color w:val="000000"/>
          <w:sz w:val="22"/>
          <w:lang w:val="pl-Pl"/>
        </w:rPr>
        <w:t>Wpłacie do Funduszu podlega także kwota odpowiadająca kwocie wydatkowanej ze środków zakładowego funduszu aktywności na nabycie, wytworzenie lub ulepszenie środków trwałych w związku z modernizacją zakładu, utworzeniem lub przystosowaniem stanowisk pracy dla osób niepełnosprawnych - w części, która nie została pokryta odpisami amortyzacyjnymi, ustalonymi przy zastosowaniu stawek amortyzacyjnych wynikających z Wykazu rocznych stawek amortyzacyjnych na dzień zaistnienia okoliczności, o których mowa w ust. 3b.</w:t>
      </w:r>
    </w:p>
    <w:p>
      <w:pPr>
        <w:spacing w:before="26" w:after="0"/>
        <w:ind w:left="0"/>
        <w:jc w:val="left"/>
        <w:textAlignment w:val="auto"/>
      </w:pPr>
      <w:r>
        <w:rPr>
          <w:rFonts w:ascii="Times New Roman"/>
          <w:b w:val="false"/>
          <w:i w:val="false"/>
          <w:color w:val="000000"/>
          <w:sz w:val="22"/>
          <w:lang w:val="pl-Pl"/>
        </w:rPr>
        <w:t xml:space="preserve">3d. </w:t>
      </w:r>
      <w:r>
        <w:rPr>
          <w:rFonts w:ascii="Times New Roman"/>
          <w:b w:val="false"/>
          <w:i w:val="false"/>
          <w:color w:val="000000"/>
          <w:sz w:val="22"/>
          <w:lang w:val="pl-Pl"/>
        </w:rPr>
        <w:t>Przepisu ust. 3b i 3c nie stosuje się w przypadku, gdy likwidacja zakładu następuje w związku z przejęciem zakładu przez inny zakład aktywności zawodowej lub w wyniku połączenia z zakładem aktywności zawodowej, a niewykorzystane środki funduszu podlegają przekazaniu w terminie do 3 miesięcy na zakładowy fundusz aktywności zakładu przejmującego zakład likwidowany.</w:t>
      </w:r>
    </w:p>
    <w:p>
      <w:pPr>
        <w:spacing w:before="26" w:after="0"/>
        <w:ind w:left="0"/>
        <w:jc w:val="left"/>
        <w:textAlignment w:val="auto"/>
      </w:pPr>
      <w:r>
        <w:rPr>
          <w:rFonts w:ascii="Times New Roman"/>
          <w:b w:val="false"/>
          <w:i w:val="false"/>
          <w:color w:val="000000"/>
          <w:sz w:val="22"/>
          <w:lang w:val="pl-Pl"/>
        </w:rPr>
        <w:t xml:space="preserve">3e. </w:t>
      </w:r>
      <w:r>
        <w:rPr>
          <w:rFonts w:ascii="Times New Roman"/>
          <w:b w:val="false"/>
          <w:i w:val="false"/>
          <w:color w:val="000000"/>
          <w:sz w:val="22"/>
          <w:lang w:val="pl-Pl"/>
        </w:rPr>
        <w:t>W przypadku przekazania prowadzenia zakładu aktywności zawodowej składniki majątkowe, niewykorzystane środki zakładowego funduszu aktywności, należności i zobowiązania zakładu aktywności zawodowej oraz należności i zobowiązania organizatora zakładu aktywności zawodowej związane z utworzeniem i prowadzeniem tego zakładu przejmuje nowy organizator zakładu aktywności zawodowej.</w:t>
      </w:r>
    </w:p>
    <w:p>
      <w:pPr>
        <w:spacing w:before="26" w:after="0"/>
        <w:ind w:left="0"/>
        <w:jc w:val="left"/>
        <w:textAlignment w:val="auto"/>
      </w:pPr>
      <w:r>
        <w:rPr>
          <w:rFonts w:ascii="Times New Roman"/>
          <w:b w:val="false"/>
          <w:i w:val="false"/>
          <w:color w:val="000000"/>
          <w:sz w:val="22"/>
          <w:lang w:val="pl-Pl"/>
        </w:rPr>
        <w:t xml:space="preserve">3f. </w:t>
      </w:r>
      <w:r>
        <w:rPr>
          <w:rFonts w:ascii="Times New Roman"/>
          <w:b w:val="false"/>
          <w:i w:val="false"/>
          <w:color w:val="000000"/>
          <w:sz w:val="22"/>
          <w:lang w:val="pl-Pl"/>
        </w:rPr>
        <w:t>W terminie 14 dni od dnia przekazania prowadzenia zakładu aktywności zawodowej nowy organizator zakładu aktywności zawodowej występuje do wojewody o wydanie decyzji o przyznaniu temu zakładowi statusu zakładu aktywności zawodowej z dniem przekazania prowadzenia tego zakładu.</w:t>
      </w:r>
    </w:p>
    <w:p>
      <w:pPr>
        <w:spacing w:before="26" w:after="0"/>
        <w:ind w:left="0"/>
        <w:jc w:val="left"/>
        <w:textAlignment w:val="auto"/>
      </w:pPr>
      <w:r>
        <w:rPr>
          <w:rFonts w:ascii="Times New Roman"/>
          <w:b w:val="false"/>
          <w:i w:val="false"/>
          <w:color w:val="000000"/>
          <w:sz w:val="22"/>
          <w:lang w:val="pl-Pl"/>
        </w:rPr>
        <w:t xml:space="preserve">3g. </w:t>
      </w:r>
      <w:r>
        <w:rPr>
          <w:rFonts w:ascii="Times New Roman"/>
          <w:b w:val="false"/>
          <w:i w:val="false"/>
          <w:color w:val="000000"/>
          <w:sz w:val="22"/>
          <w:lang w:val="pl-Pl"/>
        </w:rPr>
        <w:t>W przypadku nieuzyskania statusu zakładu aktywności zawodowej przez nowego organizatora, który przejął prowadzenie zakładu aktywności zawodowej, kwota stanowiąca wartość mienia zakładu aktywności zawodowej sfinansowanego ze środków Funduszu w części, która nie została pokryta odpisami amortyzacyjnymi wynikającymi z Wykazu rocznych stawek amortyzacyjnych na dzień przejęcia oraz niewykorzystane środki Funduszu, środki przekazane na tworzenie lub działanie zakładu aktywności zawodowej i środki znajdujące się na rachunku zakładowego funduszu aktywności podlegają przekazaniu na rachunek Funduszu.</w:t>
      </w:r>
    </w:p>
    <w:p>
      <w:pPr>
        <w:spacing w:before="26" w:after="0"/>
        <w:ind w:left="0"/>
        <w:jc w:val="left"/>
        <w:textAlignment w:val="auto"/>
      </w:pPr>
      <w:r>
        <w:rPr>
          <w:rFonts w:ascii="Times New Roman"/>
          <w:b w:val="false"/>
          <w:i w:val="false"/>
          <w:color w:val="000000"/>
          <w:sz w:val="22"/>
          <w:lang w:val="pl-Pl"/>
        </w:rPr>
        <w:t xml:space="preserve">3h. </w:t>
      </w:r>
      <w:r>
        <w:rPr>
          <w:rFonts w:ascii="Times New Roman"/>
          <w:b w:val="false"/>
          <w:i w:val="false"/>
          <w:color w:val="000000"/>
          <w:sz w:val="22"/>
          <w:lang w:val="pl-Pl"/>
        </w:rPr>
        <w:t>Nowy organizator zakładu aktywności zawodowej przejmuje prawa i obowiązki dotychczasowego organizatora wynikające z umowy dotyczącej dofinansowania ze środków Funduszu kosztów utworzenia i działania przejmowanego zakładu aktywności zawodowej z dniem przejęcia.</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szczegółowy sposób, tryb i warunki tworzenia, finansowania i działania zakładów aktywności zawodowej,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czas pracy i rehabilitacji osób zaliczonych do znacznego lub umiarkowanego stopnia niepełnosprawności,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sposób tworzenia i wykorzystywania zakładowego funduszu aktywności</w:t>
      </w:r>
    </w:p>
    <w:p>
      <w:pPr>
        <w:spacing w:before="25" w:after="0"/>
        <w:ind w:left="0"/>
        <w:jc w:val="both"/>
        <w:textAlignment w:val="auto"/>
      </w:pPr>
      <w:r>
        <w:rPr>
          <w:rFonts w:ascii="Times New Roman"/>
          <w:b w:val="false"/>
          <w:i w:val="false"/>
          <w:color w:val="000000"/>
          <w:sz w:val="22"/>
          <w:lang w:val="pl-Pl"/>
        </w:rPr>
        <w:t>- mając na względzie jednolite zasady funkcjonowania zakładów aktywności zawodowej.</w:t>
      </w:r>
    </w:p>
    <w:p>
      <w:pPr>
        <w:spacing w:before="80" w:after="0"/>
        <w:ind w:left="0"/>
        <w:jc w:val="left"/>
        <w:textAlignment w:val="auto"/>
      </w:pPr>
      <w:r>
        <w:rPr>
          <w:rFonts w:ascii="Times New Roman"/>
          <w:b/>
          <w:i w:val="false"/>
          <w:color w:val="000000"/>
          <w:sz w:val="22"/>
          <w:lang w:val="pl-Pl"/>
        </w:rPr>
        <w:t xml:space="preserve">Art. 30. </w:t>
      </w:r>
      <w:r>
        <w:rPr>
          <w:rFonts w:ascii="Times New Roman"/>
          <w:b/>
          <w:i w:val="false"/>
          <w:color w:val="000000"/>
          <w:sz w:val="22"/>
          <w:lang w:val="pl-Pl"/>
        </w:rPr>
        <w:t xml:space="preserve"> [Przyznanie i utrata statusu zakładu pracy chronionej lub zakładu aktywności zawodowej]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Decyzję w sprawie przyznania statusu zakładu pracy chronionej lub zakładu aktywności zawodowej, potwierdzającą spełnianie warunków, o których mowa w art. 28 lub 29, wydaje wojewoda.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Wojewoda może, w drodze decyzji, zwolnić na czas określony, nie dłużej jednak niż na sześć miesięcy, prowadzącego zakład pracy chronionej od spełnienia warunku, o którym mowa w art. 28 ust. 1 pkt 1 lit. a, jeżeli: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zatrudnia co najmniej 60% osób niepełnosprawnych oraz</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właściwy powiatowy urząd pracy nie może skierować wymaganej liczby osób niepełnosprawnych zaliczonych do znacznego lub umiarkowanego stopnia niepełnosprawności, posiadających odpowiednie kwalifikacje zawodowe lub nadających się do przekwalifikowania.</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Wojewoda może, w drodze decyzji, zwolnić z obowiązku prowadzenia działalności gospodarczej przez okres 12 miesięcy poprzedzających złożenie wniosku o przyznanie statusu zakładu pracy chronionej lub z obowiązku utrzymywania wskaźników zatrudnienia osób niepełnosprawnych, określonych w art. 28 ust. 1 pkt 1, w okresie 6 miesięcy poprzedzających dzień złożenia wniosku o przyznanie statusu zakładu pracy chronionej pracodawcę, który: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przejął wraz ze wszystkimi pracownikami zakład pracy chronionej w upadłości lub w likwidacji albo zagrożony likwidacją lub upadłością, z wyłączeniem przejęcia dokonanego na podstawie </w:t>
      </w:r>
      <w:r>
        <w:rPr>
          <w:rFonts w:ascii="Times New Roman"/>
          <w:b w:val="false"/>
          <w:i w:val="false"/>
          <w:color w:val="1b1b1b"/>
          <w:sz w:val="22"/>
          <w:lang w:val="pl-Pl"/>
        </w:rPr>
        <w:t>Kodeksu spółek handlowych</w:t>
      </w:r>
      <w:r>
        <w:rPr>
          <w:rFonts w:ascii="Times New Roman"/>
          <w:b w:val="false"/>
          <w:i w:val="false"/>
          <w:color w:val="000000"/>
          <w:sz w:val="22"/>
          <w:lang w:val="pl-Pl"/>
        </w:rPr>
        <w:t xml:space="preserve"> lub </w:t>
      </w:r>
      <w:r>
        <w:rPr>
          <w:rFonts w:ascii="Times New Roman"/>
          <w:b w:val="false"/>
          <w:i w:val="false"/>
          <w:color w:val="1b1b1b"/>
          <w:sz w:val="22"/>
          <w:lang w:val="pl-Pl"/>
        </w:rPr>
        <w:t>ustawy</w:t>
      </w:r>
      <w:r>
        <w:rPr>
          <w:rFonts w:ascii="Times New Roman"/>
          <w:b w:val="false"/>
          <w:i w:val="false"/>
          <w:color w:val="000000"/>
          <w:sz w:val="22"/>
          <w:lang w:val="pl-Pl"/>
        </w:rPr>
        <w:t xml:space="preserve"> z dnia 16 września 1982 r. - Prawo spółdzielcze (Dz. U. z 2017 r. poz. 1560 i 1596);</w:t>
      </w:r>
    </w:p>
    <w:p>
      <w:pPr>
        <w:spacing w:before="26" w:after="0"/>
        <w:ind w:left="373"/>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przejął pracowników zakładu pracy chronionej w związku z podziałem lub nabyciem tego zakładu lub jego części albo w wyniku zmiany formy organizacyjno-prawnej zakładu pracy chronionej prowadzonego przez osobę fizyczną;</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przejął w drodze darowizny od osoby należącej w stosunku do niego do I grupy podatkowej w rozumieniu przepisów o podatku od spadków i darowizn zakład pracy chronionej prowadzony przez jedną lub więcej osób fizycznych.</w:t>
      </w:r>
    </w:p>
    <w:p>
      <w:pPr>
        <w:spacing w:before="26" w:after="0"/>
        <w:ind w:left="0"/>
        <w:jc w:val="left"/>
        <w:textAlignment w:val="auto"/>
      </w:pPr>
      <w:r>
        <w:rPr>
          <w:rFonts w:ascii="Times New Roman"/>
          <w:b w:val="false"/>
          <w:i w:val="false"/>
          <w:color w:val="000000"/>
          <w:sz w:val="22"/>
          <w:lang w:val="pl-Pl"/>
        </w:rPr>
        <w:t xml:space="preserve">2b. </w:t>
      </w:r>
      <w:r>
        <w:rPr>
          <w:rFonts w:ascii="Times New Roman"/>
          <w:b w:val="false"/>
          <w:i w:val="false"/>
          <w:color w:val="000000"/>
          <w:sz w:val="22"/>
          <w:lang w:val="pl-Pl"/>
        </w:rPr>
        <w:t>Wojewoda może wydać decyzję, o której mowa w ust. 2a, w przypadku gdy pracodawca: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utrzyma w zatrudnieniu przejętych pracowników niepełnosprawnych zakładu pracy chronionej w okresie roku od dnia wydania decyzji oraz</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spełnia pozostałe warunki, o których mowa w art. 28, w dniu wystąpienia z wnioskiem o przyznanie statusu zakładu pracy chronionej lub udokumentowania przejęcia zakładu.</w:t>
      </w:r>
    </w:p>
    <w:p>
      <w:pPr>
        <w:spacing w:before="26" w:after="0"/>
        <w:ind w:left="0"/>
        <w:jc w:val="left"/>
        <w:textAlignment w:val="auto"/>
      </w:pPr>
      <w:r>
        <w:rPr>
          <w:rFonts w:ascii="Times New Roman"/>
          <w:b w:val="false"/>
          <w:i w:val="false"/>
          <w:color w:val="000000"/>
          <w:sz w:val="22"/>
          <w:lang w:val="pl-Pl"/>
        </w:rPr>
        <w:t xml:space="preserve">2ba. </w:t>
      </w:r>
      <w:r>
        <w:rPr>
          <w:rFonts w:ascii="Times New Roman"/>
          <w:b w:val="false"/>
          <w:i w:val="false"/>
          <w:color w:val="000000"/>
          <w:sz w:val="22"/>
          <w:lang w:val="pl-Pl"/>
        </w:rPr>
        <w:t>Przepisu ust. 2b pkt 1 nie stosuje się jeżeli umowy o pracę przejętych pracowników niepełnosprawnych uległy rozwiązaniu w przypadkach, o których mowa w art. 26b ust. 4 pkt 1-6, a także w przypadku wygaśnięcia umowy o pracę lub zmniejszenia wymiaru czasu pracy pracownika na jego wniosek.</w:t>
      </w:r>
    </w:p>
    <w:p>
      <w:pPr>
        <w:spacing w:before="26" w:after="0"/>
        <w:ind w:left="0"/>
        <w:jc w:val="left"/>
        <w:textAlignment w:val="auto"/>
      </w:pPr>
      <w:r>
        <w:rPr>
          <w:rFonts w:ascii="Times New Roman"/>
          <w:b w:val="false"/>
          <w:i w:val="false"/>
          <w:color w:val="000000"/>
          <w:sz w:val="22"/>
          <w:lang w:val="pl-Pl"/>
        </w:rPr>
        <w:t xml:space="preserve">2c. </w:t>
      </w:r>
      <w:r>
        <w:rPr>
          <w:rFonts w:ascii="Times New Roman"/>
          <w:b w:val="false"/>
          <w:i w:val="false"/>
          <w:color w:val="000000"/>
          <w:sz w:val="22"/>
          <w:lang w:val="pl-Pl"/>
        </w:rPr>
        <w:t>Pracodawca, w stosunku do którego wojewoda podjął z urzędu decyzję, o której mowa w ust. 3, może wystąpić do wojewody z wnioskiem o wydanie decyzji w sprawie przyznania statusu zakładu pracy chronionej z mocą od dnia ponownego spełnienia warunków, o których mowa w art. 28 ust. 1 pkt 1-3 i art. 33 ust. 1 lub 3 pkt 1 i 2, jeżeli: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pracodawca w dniu złożenia wniosku wykaże się:</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spełnianiem warunków, o których mowa w art. 28 ust. 1-3 oraz art. 33 ust. 1 lub 3 pkt 1 i 2, za okres od dnia ponownego spełniania warunków do dnia poprzedzającego dzień złożenia wniosku,</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dokonaniem zwrotu nienależnie pobranej pomocy publicznej otrzymanej w związku z legitymowaniem się statusem zakładu pracy chronionej wraz z odsetkami za okres od dnia stwierdzonej decyzją, o której mowa w ust. 3, utraty statusu do dnia ponownego spełniania warunków, o których mowa w art. 28 ust. 1-3 oraz art. 33 ust. 1 lub 3 pkt 1 i 2;</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łączny okres niespełniania warunków, o których mowa w art. 28 ust. 1-3 oraz art. 33 ust. 1 lub 3, był nie dłuższy niż 3 miesiące;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okresie, o którym mowa w pkt 2, wskaźnik, o którym mowa w art. 28 ust. 1 pkt 1, nie uległ zmniejszeniu o więcej niż 20% tego wskaźnika;</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naruszenie art. 28 ust. 2 i 3 lub art. 33 ust. 1 lub 3 pkt 1 i 2 nie było rażące.</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Wojewoda podejmuje decyzję stwierdzającą utratę przyznanego statusu zakładu pracy chronionej lub zakładu aktywności zawodowej w razie niespełniania warunków lub obowiązków, o których mowa w art. 28 ust. 1 pkt 1-3 lub art. 33 ust. 1 lub 3 pkt 1 lub odpowiednio art. 28 ust. 1 pkt 1-3, art. 29 lub art. 30 ust. 2b, z dniem zaprzestania spełniania jakiegokolwiek z tych warunków lub obowiązków.</w:t>
      </w:r>
    </w:p>
    <w:p>
      <w:pPr>
        <w:spacing w:before="26" w:after="0"/>
        <w:ind w:left="0"/>
        <w:jc w:val="left"/>
        <w:textAlignment w:val="auto"/>
      </w:pPr>
      <w:r>
        <w:rPr>
          <w:rFonts w:ascii="Times New Roman"/>
          <w:b w:val="false"/>
          <w:i w:val="false"/>
          <w:color w:val="000000"/>
          <w:sz w:val="22"/>
          <w:lang w:val="pl-Pl"/>
        </w:rPr>
        <w:t xml:space="preserve">3a. </w:t>
      </w:r>
      <w:r>
        <w:rPr>
          <w:rFonts w:ascii="Times New Roman"/>
          <w:b w:val="false"/>
          <w:i w:val="false"/>
          <w:color w:val="000000"/>
          <w:sz w:val="22"/>
          <w:vertAlign w:val="superscript"/>
          <w:lang w:val="pl-Pl"/>
        </w:rPr>
        <w:t>37</w:t>
      </w:r>
      <w:r>
        <w:rPr>
          <w:rFonts w:ascii="Times New Roman"/>
          <w:b w:val="false"/>
          <w:i w:val="false"/>
          <w:color w:val="000000"/>
          <w:sz w:val="22"/>
          <w:lang w:val="pl-Pl"/>
        </w:rPr>
        <w:t xml:space="preserve"> </w:t>
      </w:r>
      <w:r>
        <w:rPr>
          <w:rFonts w:ascii="Times New Roman"/>
          <w:b w:val="false"/>
          <w:i w:val="false"/>
          <w:color w:val="000000"/>
          <w:sz w:val="22"/>
          <w:lang w:val="pl-Pl"/>
        </w:rPr>
        <w:t xml:space="preserve"> Od decyzji, o których mowa w ust. 1-3, pracodawcy przysługuje wniosek o ponowne rozpatrzenie sprawy do wojewody.</w:t>
      </w:r>
    </w:p>
    <w:p>
      <w:pPr>
        <w:spacing w:before="26" w:after="0"/>
        <w:ind w:left="0"/>
        <w:jc w:val="left"/>
        <w:textAlignment w:val="auto"/>
      </w:pPr>
      <w:r>
        <w:rPr>
          <w:rFonts w:ascii="Times New Roman"/>
          <w:b w:val="false"/>
          <w:i w:val="false"/>
          <w:color w:val="000000"/>
          <w:sz w:val="22"/>
          <w:lang w:val="pl-Pl"/>
        </w:rPr>
        <w:t xml:space="preserve">3b. </w:t>
      </w:r>
      <w:r>
        <w:rPr>
          <w:rFonts w:ascii="Times New Roman"/>
          <w:b w:val="false"/>
          <w:i w:val="false"/>
          <w:color w:val="000000"/>
          <w:sz w:val="22"/>
          <w:lang w:val="pl-Pl"/>
        </w:rPr>
        <w:t>Organy wymienione w ust. 3a mogą przeprowadzać okresowe, nie rzadziej niż co dwa lata, i doraźne kontrole spełniania warunków i obowiązków, z uwzględnieniem art. 28 i 29.</w:t>
      </w:r>
    </w:p>
    <w:p>
      <w:pPr>
        <w:spacing w:before="26" w:after="0"/>
        <w:ind w:left="0"/>
        <w:jc w:val="left"/>
        <w:textAlignment w:val="auto"/>
      </w:pPr>
      <w:r>
        <w:rPr>
          <w:rFonts w:ascii="Times New Roman"/>
          <w:b w:val="false"/>
          <w:i w:val="false"/>
          <w:color w:val="000000"/>
          <w:sz w:val="22"/>
          <w:lang w:val="pl-Pl"/>
        </w:rPr>
        <w:t xml:space="preserve">3c. </w:t>
      </w:r>
      <w:r>
        <w:rPr>
          <w:rFonts w:ascii="Times New Roman"/>
          <w:b w:val="false"/>
          <w:i w:val="false"/>
          <w:color w:val="000000"/>
          <w:sz w:val="22"/>
          <w:lang w:val="pl-Pl"/>
        </w:rPr>
        <w:t>Państwowa Inspekcja Pracy przeprowadza, nie rzadziej niż co trzy lata, kontrolę w zakładach pracy chronionej i w zakładach aktywności zawodowej w zakresie przestrzegania przepisów ustawy, w szczególności art. 28 ust. 1 pkt 2.</w:t>
      </w:r>
    </w:p>
    <w:p>
      <w:pPr>
        <w:spacing w:before="26" w:after="0"/>
        <w:ind w:left="0"/>
        <w:jc w:val="left"/>
        <w:textAlignment w:val="auto"/>
      </w:pPr>
      <w:r>
        <w:rPr>
          <w:rFonts w:ascii="Times New Roman"/>
          <w:b w:val="false"/>
          <w:i w:val="false"/>
          <w:color w:val="000000"/>
          <w:sz w:val="22"/>
          <w:lang w:val="pl-Pl"/>
        </w:rPr>
        <w:t xml:space="preserve">3d. </w:t>
      </w:r>
      <w:r>
        <w:rPr>
          <w:rFonts w:ascii="Times New Roman"/>
          <w:b w:val="false"/>
          <w:i w:val="false"/>
          <w:color w:val="000000"/>
          <w:sz w:val="22"/>
          <w:lang w:val="pl-Pl"/>
        </w:rPr>
        <w:t>Wojewoda i Państwowa Inspekcja Pracy przedstawiają Pełnomocnikowi informacje o wynikach kontroli, o których mowa w ust. 3b i 3c, przeprowadzonych w danym roku kalendarzowym, w terminie do końca I kwartału roku następnego.</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Prowadzący zakład pracy chronionej lub zakład aktywności zawodowej jest obowiązany: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poinformować wojewodę o każdej zmianie dotyczącej spełnienia warunków i realizacji obowiązków, o których mowa odpowiednio w art. 28, art. 29 i art. 33 ust. 1 i 3, w terminie 14 dni od daty tej zmiany;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przedstawiać wojewodzie półroczne informacje, dotyczące spełniania tych warunków.</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Minister właściwy do spraw zabezpieczenia społecznego określi, w drodze rozporządzenia, wzór informacji, o której mowa w ust. 4, oraz sposób jej przedstawienia.</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Wojewoda jest obowiązany przedkładać Pełnomocnikowi zbiorcze informacje półroczne dotyczące wydanych decyzji oraz stanu zatrudnienia w zakładach pracy chronionej i zakładach aktywności zawodowej, w terminach:</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 dnia 20 sierpnia - za pierwsze półrocze;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 dnia 20 lutego - za drugie półrocze.</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Na wniosek Pełnomocnika wojewoda jest obowiązany udzielić informacji dotyczących wydanych decyzji, o których mowa w ust. 1-3, w zakresie i terminie wskazanym we wniosku. Termin ten nie może być krótszy niż 30 dni od dnia doręczenia wniosku.</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Minister właściwy do spraw zabezpieczenia społecznego określi, w drodze rozporządzenia, wzór informacji, o których mowa w ust. 6, oraz sposób ich przekazywania, mając na względzie zapewnienie sprawnego i terminowego przekazywania tych informacji.</w:t>
      </w:r>
    </w:p>
    <w:p>
      <w:pPr>
        <w:spacing w:before="80" w:after="0"/>
        <w:ind w:left="0"/>
        <w:jc w:val="left"/>
        <w:textAlignment w:val="auto"/>
      </w:pPr>
      <w:r>
        <w:rPr>
          <w:rFonts w:ascii="Times New Roman"/>
          <w:b/>
          <w:i w:val="false"/>
          <w:color w:val="000000"/>
          <w:sz w:val="22"/>
          <w:lang w:val="pl-Pl"/>
        </w:rPr>
        <w:t xml:space="preserve">Art. 31. </w:t>
      </w:r>
      <w:r>
        <w:rPr>
          <w:rFonts w:ascii="Times New Roman"/>
          <w:b/>
          <w:i w:val="false"/>
          <w:color w:val="000000"/>
          <w:sz w:val="22"/>
          <w:lang w:val="pl-Pl"/>
        </w:rPr>
        <w:t xml:space="preserve"> [Zwolnienia podatkowe]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Prowadzący zakład pracy chronionej spełniający warunek, o którym mowa w art. 28 ust. 1 pkt 1 lit. b, lub zakład aktywności zawodowej w stosunku do tego zakładu jest zwolniony z:</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podatków, z zastrzeżeniem ust. 2, z tym że:</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z podatków od nieruchomości, rolnego i leśnego - na zasadach określonych w przepisach odrębnych,</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z podatku od czynności cywilnoprawnych - jeżeli czynność przez niego dokonana pozostaje w bezpośrednim związku z prowadzeniem zakładu;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opłat, z wyjątkiem opłaty skarbowej i opłat o charakterze sankcyjnym.</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Zwolnienie, o którym mowa w ust. 1 pkt 1, nie dotyczy: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podatku od gier;</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podatku od towarów i usług oraz podatku akcyzowego;</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cła;</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podatków dochodowych;</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podatku od środków transportowych.</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Prowadzący zakład pracy chronionej spełniający warunek, o którym mowa w art. 28 ust. 1 pkt 1 lit. b, przekazuje środki uzyskane: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 tytułu zwolnień, o których mowa w ust. 1, na:</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Fundusz - w wysokości 10%,</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zakładowy fundusz rehabilitacji osób niepełnosprawnych - w wysokości 90%.</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Prowadzący zakład aktywności zawodowej przekazuje środki uzyskane z tytułu zwolnień, o których mowa w ust. 1, oraz wpływy z dochodu związanego z prowadzeniem działalności gospodarczej na zakładowy fundusz aktywności.</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Wykaz opłat o charakterze sankcyjnym, o których mowa w ust. 1 pkt 2, określi, w drodze rozporządzenia, minister właściwy do spraw finansów publicznych w porozumieniu z ministrem właściwym do spraw zabezpieczenia społecznego, uwzględniając charakter opłat podlegających wyłączeniu.</w:t>
      </w:r>
    </w:p>
    <w:p>
      <w:pPr>
        <w:spacing w:before="80" w:after="0"/>
        <w:ind w:left="0"/>
        <w:jc w:val="left"/>
        <w:textAlignment w:val="auto"/>
      </w:pPr>
      <w:r>
        <w:rPr>
          <w:rFonts w:ascii="Times New Roman"/>
          <w:b/>
          <w:i w:val="false"/>
          <w:color w:val="000000"/>
          <w:sz w:val="22"/>
          <w:lang w:val="pl-Pl"/>
        </w:rPr>
        <w:t xml:space="preserve">Art. 32. </w:t>
      </w:r>
      <w:r>
        <w:rPr>
          <w:rFonts w:ascii="Times New Roman"/>
          <w:b/>
          <w:i w:val="false"/>
          <w:color w:val="000000"/>
          <w:sz w:val="22"/>
          <w:lang w:val="pl-Pl"/>
        </w:rPr>
        <w:t xml:space="preserve"> [Dofinansowania i zwrot kosztów dla pracodawcy prowadzącego zakład pracy chronionej]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Pracodawca prowadzący zakład pracy chronionej może, na wniosek, otrzymać ze środków Funduszu:</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dofinansowanie w wysokości do 50% oprocentowania zaciągniętych kredytów bankowych pod warunkiem wykorzystania tych kredytów na cele związane z rehabilitacją zawodową i społeczną osób niepełnosprawnych;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zwrot kosztów:</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budowy lub przebudowy związanej z modernizacją obiektów i pomieszczeń zakładu,</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transportowych,</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administracyjnych.</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Zwrot kosztów, o których mowa w ust. 1 pkt 2:</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dotyczy wyłącznie dodatkowych kosztów pracodawcy wynikających z zatrudnienia osób niepełnosprawnych;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może być przyznany pracodawcy prowadzącemu zakład pracy chronionej u którego wskaźnik zatrudnienia osób niepełnosprawnych wynosi co najmniej 50%.</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Minister właściwy do spraw zabezpieczenia społecznego określi, w drodze rozporządzenia, szczegółowe warunki udzielania dofinansowania i zwrotu kosztów, o których mowa w ust. 1, tryb postępowania w tych sprawach, w tym terminy składania oraz rozpatrywania wniosków, sposób i tryb sporządzania informacji o wykorzystaniu środków, mając na względzie zapewnienie sprawności udzielanej pomocy, zgodności z warunkami dopuszczalności pomocy publicznej, określonymi w przepisach prawa Unii Europejskiej, zapewnienie jednolitych warunków niezbędnych do prawidłowego przekazywania dokumentów oraz określenie zakresu danych niezbędnych do udzielenia pomocy, a także racjonalne gospodarowanie środkami Funduszu.</w:t>
      </w:r>
    </w:p>
    <w:p>
      <w:pPr>
        <w:spacing w:before="80" w:after="0"/>
        <w:ind w:left="0"/>
        <w:jc w:val="left"/>
        <w:textAlignment w:val="auto"/>
      </w:pPr>
      <w:r>
        <w:rPr>
          <w:rFonts w:ascii="Times New Roman"/>
          <w:b/>
          <w:i w:val="false"/>
          <w:color w:val="000000"/>
          <w:sz w:val="22"/>
          <w:lang w:val="pl-Pl"/>
        </w:rPr>
        <w:t xml:space="preserve">Art. 32a. </w:t>
      </w:r>
      <w:r>
        <w:rPr>
          <w:rFonts w:ascii="Times New Roman"/>
          <w:b/>
          <w:i w:val="false"/>
          <w:color w:val="000000"/>
          <w:sz w:val="22"/>
          <w:lang w:val="pl-Pl"/>
        </w:rPr>
        <w:t xml:space="preserve"> [Umowa z PFRON]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Fundusz, na podstawie umowy zawartej z pracodawcą prowadzącym zakład pracy chronionej, udziela pracodawcy pomocy, o której mowa w art. 32 ust. 1.</w:t>
      </w:r>
    </w:p>
    <w:p>
      <w:pPr>
        <w:spacing w:before="80" w:after="0"/>
        <w:ind w:left="0"/>
        <w:jc w:val="left"/>
        <w:textAlignment w:val="auto"/>
      </w:pPr>
      <w:r>
        <w:rPr>
          <w:rFonts w:ascii="Times New Roman"/>
          <w:b/>
          <w:i w:val="false"/>
          <w:color w:val="000000"/>
          <w:sz w:val="22"/>
          <w:lang w:val="pl-Pl"/>
        </w:rPr>
        <w:t xml:space="preserve">Art. 33. </w:t>
      </w:r>
      <w:r>
        <w:rPr>
          <w:rFonts w:ascii="Times New Roman"/>
          <w:b/>
          <w:i w:val="false"/>
          <w:color w:val="000000"/>
          <w:sz w:val="22"/>
          <w:lang w:val="pl-Pl"/>
        </w:rPr>
        <w:t xml:space="preserve"> [Zakładowy fundusz rehabilitacji osób niepełnosprawnych]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Prowadzący zakład pracy chronionej tworzy zakładowy fundusz rehabilitacji osób niepełnosprawnych, zwany dalej "funduszem rehabilitacji".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Fundusz rehabilitacji tworzy się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ze środków, o których mowa w art. 31 ust. 3 pkt 1 lit. b;</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 części zaliczek na podatek dochodowy od osób fizycznych, zgodnie z odrębnymi przepisami, z tym że za dzień uzyskania tych środków, uznaje się dzień wypłaty wynagrodzeń;</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 wpływów z zapisów i darowizn;</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z odsetek od środków zgromadzonych na rachunku funduszu rehabilitacji;</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ze środków pochodzących ze zbycia środków trwałych zakupionych ze środków funduszu, w części niezamortyzowanej.</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Pracodawca prowadzący zakład pracy chronionej jest obowiązany do: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prowadzenia ewidencji środków funduszu rehabilitacji;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prowadzenia rozliczeniowego rachunku bankowego środków tego funduszu;</w:t>
      </w:r>
    </w:p>
    <w:p>
      <w:pPr>
        <w:spacing w:before="26" w:after="0"/>
        <w:ind w:left="373"/>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wydatkowania środków tego funduszu wyłącznie z rachunku bankowego środków tego funduszu, z zastrzeżeniem ust. 3a;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przekazywania środków funduszu rehabilitacji na rachunek, o którym mowa w pkt 2, w terminie 7 dni od dnia, w którym środki te uzyskano;</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przeznaczania co najmniej 15% środków funduszu rehabilitacji na indywidualne programy rehabilitacji;</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przeznaczania co najmniej 10% środków funduszu rehabilitacji na pomoc indywidualną dla niepełnosprawnych pracowników i byłych niepracujących niepełnosprawnych pracowników tego zakładu.</w:t>
      </w:r>
    </w:p>
    <w:p>
      <w:pPr>
        <w:spacing w:before="26" w:after="0"/>
        <w:ind w:left="0"/>
        <w:jc w:val="left"/>
        <w:textAlignment w:val="auto"/>
      </w:pPr>
      <w:r>
        <w:rPr>
          <w:rFonts w:ascii="Times New Roman"/>
          <w:b w:val="false"/>
          <w:i w:val="false"/>
          <w:color w:val="000000"/>
          <w:sz w:val="22"/>
          <w:lang w:val="pl-Pl"/>
        </w:rPr>
        <w:t xml:space="preserve">3a. </w:t>
      </w:r>
      <w:r>
        <w:rPr>
          <w:rFonts w:ascii="Times New Roman"/>
          <w:b w:val="false"/>
          <w:i w:val="false"/>
          <w:color w:val="000000"/>
          <w:sz w:val="22"/>
          <w:lang w:val="pl-Pl"/>
        </w:rPr>
        <w:t>Środki zakładowego funduszu rehabilitacji mogą być wypłacane z rachunku bankowego środków tego funduszu, do kasy zakładowego funduszu rehabilitacji w celu ich wypłaty osobom niepełnosprawnym oraz osobom uprawnionym do pomocy indywidualnej ze środków tego funduszu.</w:t>
      </w:r>
    </w:p>
    <w:p>
      <w:pPr>
        <w:spacing w:before="26" w:after="0"/>
        <w:ind w:left="0"/>
        <w:jc w:val="left"/>
        <w:textAlignment w:val="auto"/>
      </w:pPr>
      <w:r>
        <w:rPr>
          <w:rFonts w:ascii="Times New Roman"/>
          <w:b w:val="false"/>
          <w:i w:val="false"/>
          <w:color w:val="000000"/>
          <w:sz w:val="22"/>
          <w:lang w:val="pl-Pl"/>
        </w:rPr>
        <w:t xml:space="preserve">3b. </w:t>
      </w:r>
      <w:r>
        <w:rPr>
          <w:rFonts w:ascii="Times New Roman"/>
          <w:b w:val="false"/>
          <w:i w:val="false"/>
          <w:color w:val="000000"/>
          <w:sz w:val="22"/>
          <w:lang w:val="pl-Pl"/>
        </w:rPr>
        <w:t>Środki zakładowego funduszu rehabilitacji nie podlegają egzekucji sądowej ani administracyjnej oraz nie mogą być obciążane w jakikolwiek sposób, z zastrzeżeniem ust. 4.</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Środki funduszu rehabilitacji są przeznaczane na finansowanie rehabilitacji zawodowej, społecznej i leczniczej, w tym na indywidualne programy rehabilitacji osób niepełnosprawnych opracowywane przez powołane przez pracodawców komisje rehabilitacyjne oraz ubezpieczenie osób niepełnosprawnych, zgodnie z zakładowym regulaminem wykorzystania tych środków.</w:t>
      </w:r>
    </w:p>
    <w:p>
      <w:pPr>
        <w:spacing w:before="26" w:after="0"/>
        <w:ind w:left="0"/>
        <w:jc w:val="left"/>
        <w:textAlignment w:val="auto"/>
      </w:pPr>
      <w:r>
        <w:rPr>
          <w:rFonts w:ascii="Times New Roman"/>
          <w:b w:val="false"/>
          <w:i w:val="false"/>
          <w:color w:val="000000"/>
          <w:sz w:val="22"/>
          <w:lang w:val="pl-Pl"/>
        </w:rPr>
        <w:t xml:space="preserve">4a. </w:t>
      </w:r>
      <w:r>
        <w:rPr>
          <w:rFonts w:ascii="Times New Roman"/>
          <w:b w:val="false"/>
          <w:i w:val="false"/>
          <w:color w:val="000000"/>
          <w:sz w:val="22"/>
          <w:lang w:val="pl-Pl"/>
        </w:rPr>
        <w:t>W przypadku niezgodnego z ust. 4 przeznaczenia środków funduszu rehabilitacji, pracodawca jest obowiązany do dokonania: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zwrotu 100% kwoty tych środków na fundusz rehabilitacji oraz</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wpłaty w wysokości 30% tych środków na Fundusz w terminie do 20. dnia miesiąca następującego po miesiącu, w którym nastąpiło ujawnienie niezgodnego z ustawą przeznaczenia środków funduszu rehabilitacji, a także niedotrzymanie terminu, o którym mowa w ust. 3 pkt 3.</w:t>
      </w:r>
    </w:p>
    <w:p>
      <w:pPr>
        <w:spacing w:before="26" w:after="0"/>
        <w:ind w:left="0"/>
        <w:jc w:val="left"/>
        <w:textAlignment w:val="auto"/>
      </w:pPr>
      <w:r>
        <w:rPr>
          <w:rFonts w:ascii="Times New Roman"/>
          <w:b w:val="false"/>
          <w:i w:val="false"/>
          <w:color w:val="000000"/>
          <w:sz w:val="22"/>
          <w:lang w:val="pl-Pl"/>
        </w:rPr>
        <w:t>4a</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w:t>
      </w:r>
      <w:r>
        <w:rPr>
          <w:rFonts w:ascii="Times New Roman"/>
          <w:b w:val="false"/>
          <w:i w:val="false"/>
          <w:color w:val="000000"/>
          <w:sz w:val="22"/>
          <w:lang w:val="pl-Pl"/>
        </w:rPr>
        <w:t>Na równi z niezgodnym z ust. 4 przeznaczeniem środków funduszu rehabilitacji traktuje się nieutworzenie funduszu rehabilitacji, nieprowadzenie ewidencji środków funduszu rehabilitacji lub nieprowadzenie rachunku bankowego środków tego funduszu, z tym że kwota wpłaty, o której mowa w ust. 4a pkt 2, jest równa 30% kwoty środków funduszu rehabilitacji ustalonej na podstawie ust. 1-3.</w:t>
      </w:r>
    </w:p>
    <w:p>
      <w:pPr>
        <w:spacing w:before="26" w:after="0"/>
        <w:ind w:left="0"/>
        <w:jc w:val="left"/>
        <w:textAlignment w:val="auto"/>
      </w:pPr>
      <w:r>
        <w:rPr>
          <w:rFonts w:ascii="Times New Roman"/>
          <w:b w:val="false"/>
          <w:i w:val="false"/>
          <w:color w:val="000000"/>
          <w:sz w:val="22"/>
          <w:lang w:val="pl-Pl"/>
        </w:rPr>
        <w:t>4a</w:t>
      </w:r>
      <w:r>
        <w:rPr>
          <w:rFonts w:ascii="Times New Roman"/>
          <w:b w:val="false"/>
          <w:i w:val="false"/>
          <w:color w:val="000000"/>
          <w:sz w:val="22"/>
          <w:vertAlign w:val="superscript"/>
          <w:lang w:val="pl-Pl"/>
        </w:rPr>
        <w:t>2</w:t>
      </w:r>
      <w:r>
        <w:rPr>
          <w:rFonts w:ascii="Times New Roman"/>
          <w:b w:val="false"/>
          <w:i w:val="false"/>
          <w:color w:val="000000"/>
          <w:sz w:val="22"/>
          <w:lang w:val="pl-Pl"/>
        </w:rPr>
        <w:t xml:space="preserve">. </w:t>
      </w:r>
      <w:r>
        <w:rPr>
          <w:rFonts w:ascii="Times New Roman"/>
          <w:b w:val="false"/>
          <w:i w:val="false"/>
          <w:color w:val="000000"/>
          <w:sz w:val="22"/>
          <w:lang w:val="pl-Pl"/>
        </w:rPr>
        <w:t>Na równi z niezgodnym z ust. 4 przeznaczeniem środków funduszu rehabilitacji traktuje się nieprzekazanie środków na ten fundusz. Przepis ust. 4a stosuje się odpowiednio.</w:t>
      </w:r>
    </w:p>
    <w:p>
      <w:pPr>
        <w:spacing w:before="26" w:after="0"/>
        <w:ind w:left="0"/>
        <w:jc w:val="left"/>
        <w:textAlignment w:val="auto"/>
      </w:pPr>
      <w:r>
        <w:rPr>
          <w:rFonts w:ascii="Times New Roman"/>
          <w:b w:val="false"/>
          <w:i w:val="false"/>
          <w:color w:val="000000"/>
          <w:sz w:val="22"/>
          <w:lang w:val="pl-Pl"/>
        </w:rPr>
        <w:t xml:space="preserve">4b. </w:t>
      </w:r>
      <w:r>
        <w:rPr>
          <w:rFonts w:ascii="Times New Roman"/>
          <w:b w:val="false"/>
          <w:i w:val="false"/>
          <w:color w:val="000000"/>
          <w:sz w:val="22"/>
          <w:lang w:val="pl-Pl"/>
        </w:rPr>
        <w:t>Wpłata, o której mowa w ust. 4a pkt 2, nie obciąża funduszu rehabilitacji.</w:t>
      </w:r>
    </w:p>
    <w:p>
      <w:pPr>
        <w:spacing w:before="26" w:after="0"/>
        <w:ind w:left="0"/>
        <w:jc w:val="left"/>
        <w:textAlignment w:val="auto"/>
      </w:pPr>
      <w:r>
        <w:rPr>
          <w:rFonts w:ascii="Times New Roman"/>
          <w:b w:val="false"/>
          <w:i w:val="false"/>
          <w:color w:val="000000"/>
          <w:sz w:val="22"/>
          <w:lang w:val="pl-Pl"/>
        </w:rPr>
        <w:t xml:space="preserve">4c. </w:t>
      </w:r>
      <w:r>
        <w:rPr>
          <w:rFonts w:ascii="Times New Roman"/>
          <w:b w:val="false"/>
          <w:i w:val="false"/>
          <w:color w:val="000000"/>
          <w:sz w:val="22"/>
          <w:lang w:val="pl-Pl"/>
        </w:rPr>
        <w:t>Uzyskane w danym roku kalendarzowym środki funduszu rehabilitacji pochodzące ze zwolnień, o których mowa w art. 31 ust. 1, oraz kwoty pobranych zaliczek na podatek dochodowy od osób fizycznych, o których mowa w ust. 2 pkt 2, które nie zostały wykorzystane w terminie do dnia 31 grudnia następnego roku, podlegają wpłacie do Funduszu.</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Pracodawcy prowadzący zakład pracy chronionej mogą gromadzić do 10% środków funduszu rehabilitacji na realizację wspólnych zadań zgodnych z ustawą.</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vertAlign w:val="superscript"/>
          <w:lang w:val="pl-Pl"/>
        </w:rPr>
        <w:t>38</w:t>
      </w:r>
      <w:r>
        <w:rPr>
          <w:rFonts w:ascii="Times New Roman"/>
          <w:b w:val="false"/>
          <w:i w:val="false"/>
          <w:color w:val="000000"/>
          <w:sz w:val="22"/>
          <w:lang w:val="pl-Pl"/>
        </w:rPr>
        <w:t xml:space="preserve"> </w:t>
      </w:r>
      <w:r>
        <w:rPr>
          <w:rFonts w:ascii="Times New Roman"/>
          <w:b w:val="false"/>
          <w:i w:val="false"/>
          <w:strike/>
          <w:color w:val="e51c23"/>
          <w:sz w:val="22"/>
          <w:lang w:val="pl-Pl"/>
        </w:rPr>
        <w:t>Kontrola prawidłowości realizacji przepisów ust. 1-4a wykonywana jest przez właściwego miejscowo naczelnika urzędu skarbowego. Kontrola ta może być również wykonywana przez naczelnika urzędu celno-skarbowego.</w:t>
      </w:r>
      <w:r>
        <w:br/>
      </w:r>
      <w:r>
        <w:rPr>
          <w:rFonts w:ascii="Times New Roman"/>
          <w:b w:val="false"/>
          <w:i w:val="false"/>
          <w:color w:val="569748"/>
          <w:sz w:val="22"/>
          <w:u w:val="single"/>
          <w:lang w:val="pl-Pl"/>
        </w:rPr>
        <w:t>Ocena prawidłowości realizacji przepisów ust. 1-4a jest wykonywana przez właściwego miejscowo dyrektora izby administracji skarbowej na zasadach określonych w dziale V w rozdziale 2 ustawy z dnia 16 listopada 2016 r. o Krajowej Administracji Skarbowej (Dz. U. z 2018 r. poz. 508, z późn. zm.).</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 razie likwidacji, upadłości albo wykreślenia z ewidencji działalności gospodarczej prowadzonego przez pracodawcę zakładu pracy chronionej lub utraty statusu zakładu pracy chronionej niewykorzystane według stanu na dzień likwidacji, upadłości lub utraty statusu zakładu pracy chronionej środki funduszu rehabilitacji podlegają niezwłocznie wpłacie do Funduszu, z zastrzeżeniem ust. 7a i 7b.</w:t>
      </w:r>
    </w:p>
    <w:p>
      <w:pPr>
        <w:spacing w:before="26" w:after="0"/>
        <w:ind w:left="0"/>
        <w:jc w:val="left"/>
        <w:textAlignment w:val="auto"/>
      </w:pPr>
      <w:r>
        <w:rPr>
          <w:rFonts w:ascii="Times New Roman"/>
          <w:b w:val="false"/>
          <w:i w:val="false"/>
          <w:color w:val="000000"/>
          <w:sz w:val="22"/>
          <w:lang w:val="pl-Pl"/>
        </w:rPr>
        <w:t xml:space="preserve">7a. </w:t>
      </w:r>
      <w:r>
        <w:rPr>
          <w:rFonts w:ascii="Times New Roman"/>
          <w:b w:val="false"/>
          <w:i w:val="false"/>
          <w:color w:val="000000"/>
          <w:sz w:val="22"/>
          <w:lang w:val="pl-Pl"/>
        </w:rPr>
        <w:t>Wpłacie do Funduszu podlega także kwota odpowiadająca kwocie wydatkowanej ze środków funduszu rehabilitacji na nabycie, wytworzenie lub ulepszenie środków trwałych w związku z modernizacją zakładu, utworzeniem lub przystosowaniem stanowisk pracy dla osób niepełnosprawnych, budową lub rozbudową bazy rehabilitacyjnej, wypoczynkowej i socjalnej oraz na zakup środków transportu - w części, która nie została pokryta odpisami amortyzacyjnymi, ustalonymi przy zastosowaniu stawek amortyzacyjnych wynikających z Wykazu rocznych stawek amortyzacyjnych na dzień zaistnienia okoliczności, o których mowa w ust. 7.</w:t>
      </w:r>
    </w:p>
    <w:p>
      <w:pPr>
        <w:spacing w:before="26" w:after="0"/>
        <w:ind w:left="0"/>
        <w:jc w:val="left"/>
        <w:textAlignment w:val="auto"/>
      </w:pPr>
      <w:r>
        <w:rPr>
          <w:rFonts w:ascii="Times New Roman"/>
          <w:b w:val="false"/>
          <w:i w:val="false"/>
          <w:color w:val="000000"/>
          <w:sz w:val="22"/>
          <w:lang w:val="pl-Pl"/>
        </w:rPr>
        <w:t xml:space="preserve">7b. </w:t>
      </w:r>
      <w:r>
        <w:rPr>
          <w:rFonts w:ascii="Times New Roman"/>
          <w:b w:val="false"/>
          <w:i w:val="false"/>
          <w:color w:val="000000"/>
          <w:sz w:val="22"/>
          <w:lang w:val="pl-Pl"/>
        </w:rPr>
        <w:t>W przypadku utraty statusu zakładu pracy chronionej i osiągania stanu zatrudnienia ogółem w wysokości co najmniej 15 pracowników w przeliczeniu na pełny wymiar czasu pracy oraz wskaźnika zatrudnienia osób niepełnosprawnych w wysokości co najmniej 25%, pracodawca zachowuje fundusz rehabilitacji i niewykorzystane środki tego funduszu.</w:t>
      </w:r>
    </w:p>
    <w:p>
      <w:pPr>
        <w:spacing w:before="26" w:after="0"/>
        <w:ind w:left="0"/>
        <w:jc w:val="left"/>
        <w:textAlignment w:val="auto"/>
      </w:pPr>
      <w:r>
        <w:rPr>
          <w:rFonts w:ascii="Times New Roman"/>
          <w:b w:val="false"/>
          <w:i w:val="false"/>
          <w:color w:val="000000"/>
          <w:sz w:val="22"/>
          <w:lang w:val="pl-Pl"/>
        </w:rPr>
        <w:t xml:space="preserve">7c.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7d.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Przepisu ust. 7 nie stosuje się w przypadku, gdy likwidacja zakładu następuje w związku z przejęciem zakładu przez inny zakład pracy chronionej lub w wyniku połączenia z takim zakładem, a niewykorzystane środki funduszu podlegają przekazaniu w terminie do 3 miesięcy na fundusz rehabilitacji zakładu przejmującego zakład likwidowany.</w:t>
      </w:r>
    </w:p>
    <w:p>
      <w:pPr>
        <w:spacing w:before="26" w:after="0"/>
        <w:ind w:left="0"/>
        <w:jc w:val="left"/>
        <w:textAlignment w:val="auto"/>
      </w:pPr>
      <w:r>
        <w:rPr>
          <w:rFonts w:ascii="Times New Roman"/>
          <w:b w:val="false"/>
          <w:i w:val="false"/>
          <w:color w:val="000000"/>
          <w:sz w:val="22"/>
          <w:lang w:val="pl-Pl"/>
        </w:rPr>
        <w:t xml:space="preserve">8a. </w:t>
      </w:r>
      <w:r>
        <w:rPr>
          <w:rFonts w:ascii="Times New Roman"/>
          <w:b w:val="false"/>
          <w:i w:val="false"/>
          <w:color w:val="000000"/>
          <w:sz w:val="22"/>
          <w:lang w:val="pl-Pl"/>
        </w:rPr>
        <w:t>W przypadkach określonych w art. 30 w ust. 2a stosuje się ust. 8, z tym że środki funduszu rehabilitacji podlegają:</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podziałowi pomiędzy pracodawcę, o którym mowa w art. 30 ust. 2a pkt 1a, oraz pracodawcę dotychczas legitymującego się statusem zakładu pracy chronionej, który pozostał dysponentem tego funduszu - proporcjonalnie do procentowego udziału stanu zatrudnienia przejętych pracowników niepełnosprawnych zakładu pracy chronionej w stanie zatrudnienia osób niepełnosprawnych pracodawcy dotychczas legitymującego się statusem zakładu pracy chronionej - ustalonego w przeliczeniu na pełny wymiar czasu pracy, według stanu na dzień podziału lub zbycia zakładu pracy chronionej lub jego części oraz</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przekazaniu do Funduszu tytułem wpłaty, o której mowa w art. 33 ust. 7, w kwocie stanowiącej różnicę pomiędzy kwotą środków funduszu rehabilitacji pracodawcy dotychczas legitymującego się statusem zakładu pracy chronionej według stanu na dzień podziału lub zbycia części lub całości zakładu pracy chronionej a sumą kwot przypadającą poszczególnym pracodawcom na podstawie pkt 1</w:t>
      </w:r>
    </w:p>
    <w:p>
      <w:pPr>
        <w:spacing w:before="25" w:after="0"/>
        <w:ind w:left="0"/>
        <w:jc w:val="both"/>
        <w:textAlignment w:val="auto"/>
      </w:pPr>
      <w:r>
        <w:rPr>
          <w:rFonts w:ascii="Times New Roman"/>
          <w:b w:val="false"/>
          <w:i w:val="false"/>
          <w:color w:val="000000"/>
          <w:sz w:val="22"/>
          <w:lang w:val="pl-Pl"/>
        </w:rPr>
        <w:t>- w terminie 3 miesięcy od dnia dokonania podziału lub zbycia zakładu pracy chronionej lub jego części.</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Dysponentem funduszu rehabilitacji lub zakładowego funduszu aktywności jest pracodawca.</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Prowadzący zakład pracy chronionej może udzielać, ze środków funduszu rehabilitacji, pomocy niepracującym osobom niepełnosprawnym byłym pracownikom tego zakładu, na cele związane z rehabilitacją leczniczą i społeczną.</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Minister właściwy do spraw zabezpieczenia społecznego w porozumieniu z ministrem właściwym do spraw finansów publicznych oraz ministrem właściwym do spraw zdrowia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rodzaje wydatków ze środków funduszu rehabilitacji, w tym w ramach zasady de minimis,</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warunki wykorzystania środków funduszu rehabilitacji,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zakres, warunki i formy udzielania pomocy indywidualnej,</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tryb ustalania zakładowego regulaminu wykorzystania tych środków,</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warunki tworzenia indywidualnych programów rehabilitacji, w tym skład i zakres działania komisji rehabilitacyjnej tworzącej te programy</w:t>
      </w:r>
    </w:p>
    <w:p>
      <w:pPr>
        <w:spacing w:before="25" w:after="0"/>
        <w:ind w:left="0"/>
        <w:jc w:val="both"/>
        <w:textAlignment w:val="auto"/>
      </w:pPr>
      <w:r>
        <w:rPr>
          <w:rFonts w:ascii="Times New Roman"/>
          <w:b w:val="false"/>
          <w:i w:val="false"/>
          <w:color w:val="000000"/>
          <w:sz w:val="22"/>
          <w:lang w:val="pl-Pl"/>
        </w:rPr>
        <w:t>- mając na względzie prawidłowe wykorzystanie środków tego funduszu.</w:t>
      </w:r>
    </w:p>
    <w:p>
      <w:pPr>
        <w:spacing w:before="80" w:after="0"/>
        <w:ind w:left="0"/>
        <w:jc w:val="left"/>
        <w:textAlignment w:val="auto"/>
      </w:pPr>
      <w:r>
        <w:rPr>
          <w:rFonts w:ascii="Times New Roman"/>
          <w:b/>
          <w:i w:val="false"/>
          <w:color w:val="000000"/>
          <w:sz w:val="22"/>
          <w:lang w:val="pl-Pl"/>
        </w:rPr>
        <w:t xml:space="preserve">Art. 33a. </w:t>
      </w:r>
      <w:r>
        <w:rPr>
          <w:rFonts w:ascii="Times New Roman"/>
          <w:b/>
          <w:i w:val="false"/>
          <w:color w:val="000000"/>
          <w:sz w:val="22"/>
          <w:lang w:val="pl-Pl"/>
        </w:rPr>
        <w:t xml:space="preserve"> [Stosowanie przepisów w przypadku utraty statusu zakładu pracy chronionej]</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Przepisy art. 33 stosuje się do pracodawców, o których mowa w art. 33 ust. 7b.</w:t>
      </w:r>
    </w:p>
    <w:p>
      <w:pPr>
        <w:spacing w:before="146" w:after="0"/>
        <w:ind w:left="0"/>
        <w:jc w:val="center"/>
        <w:textAlignment w:val="auto"/>
      </w:pPr>
      <w:r>
        <w:rPr>
          <w:rFonts w:ascii="Times New Roman"/>
          <w:b/>
          <w:i w:val="false"/>
          <w:color w:val="000000"/>
          <w:sz w:val="22"/>
          <w:lang w:val="pl-Pl"/>
        </w:rPr>
        <w:t xml:space="preserve">Rozdział 7 </w:t>
      </w:r>
    </w:p>
    <w:p>
      <w:pPr>
        <w:spacing w:before="25" w:after="0"/>
        <w:ind w:left="0"/>
        <w:jc w:val="center"/>
        <w:textAlignment w:val="auto"/>
      </w:pPr>
      <w:r>
        <w:rPr>
          <w:rFonts w:ascii="Times New Roman"/>
          <w:b/>
          <w:i w:val="false"/>
          <w:color w:val="000000"/>
          <w:sz w:val="22"/>
          <w:lang w:val="pl-Pl"/>
        </w:rPr>
        <w:t>Zadania i organizacja służb działających na rzecz osób niepełnosprawnych</w:t>
      </w:r>
    </w:p>
    <w:p>
      <w:pPr>
        <w:spacing w:before="80" w:after="0"/>
        <w:ind w:left="0"/>
        <w:jc w:val="left"/>
        <w:textAlignment w:val="auto"/>
      </w:pPr>
      <w:r>
        <w:rPr>
          <w:rFonts w:ascii="Times New Roman"/>
          <w:b/>
          <w:i w:val="false"/>
          <w:color w:val="000000"/>
          <w:sz w:val="22"/>
          <w:lang w:val="pl-Pl"/>
        </w:rPr>
        <w:t xml:space="preserve">Art. 34. </w:t>
      </w:r>
      <w:r>
        <w:rPr>
          <w:rFonts w:ascii="Times New Roman"/>
          <w:b/>
          <w:i w:val="false"/>
          <w:color w:val="000000"/>
          <w:sz w:val="22"/>
          <w:lang w:val="pl-Pl"/>
        </w:rPr>
        <w:t xml:space="preserve"> [Zadania Pełnomocnika do Spraw Osób Niepełnosprawnych]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Wykonanie zadań wynikających z ustawy nadzoruje Pełnomocnik będący sekretarzem stanu w urzędzie obsługującym ministra właściwego do spraw zabezpieczenia społecznego.</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Nadzór, o którym mowa w ust. 1, jest wykonywany przez:</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koordynację realizacji zadań wynikających z ustawy;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inicjowanie lub przeprowadzanie kontroli realizacji zadań wynikających z ustawy.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Koordynacja, o której mowa w ust. 2 pkt 1, polega na: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żądaniu od podmiotów informacji, dokumentów i sprawozdań okresowych dotyczących realizowanych zadań określonych w ustawie;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organizowaniu szkoleń i konferencji;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udzielaniu informacji w sprawach z zakresu rehabilitacji zawodowej i społecznej oraz zatrudniania osób niepełnosprawnych;</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opracowywaniu standardów w zakresie realizacji zadań określonych w ustawie;</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realizacji zadań wynikających z programów rządowych, o których mowa w ust. 6 pkt 2;</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realizacji działań zmierzających do ograniczenia skutków niepełnosprawności i barier, utrudniających osobom niepełnosprawnym funkcjonowanie w społeczeństwie.</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Inicjowanie kontroli, o której mowa w ust. 2 pkt 2, dotyczy: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działań na rzecz realizacji praw osób niepełnosprawnych;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realizacji zadań określonych w ustawie;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spełniania przez pracodawców warunków określonych w art. 28 ust. 1, art. 29, art. 30 ust. 2b i art. 33.</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Pełnomocnik może przeprowadzić kontrolę w zakresie określonym w ust. 4.</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Do zadań Pełnomocnika należy także: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opracowywanie oraz opiniowanie projektów aktów normatywnych dotyczących zatrudnienia, rehabilitacji oraz warunków życia osób niepełnosprawnych;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opracowywanie projektów programów rządowych dotyczących rozwiązywania problemów osób niepełnosprawnych;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ustalanie założeń do rocznych planów rzeczowo-finansowych dotyczących realizacji zadań wynikających z ustawy;</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inicjowanie działań zmierzających do ograniczenia skutków niepełnosprawności i barier utrudniających osobom niepełnosprawnym funkcjonowanie w społeczeństwie;</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współpraca z organizacjami pozarządowymi i fundacjami działającymi na rzecz osób niepełnosprawnych.</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Zadania wynikające z ustawy realizują organy administracji rządowej, organy jednostek samorządu terytorialnego i Fundusz.</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Pełnomocnika powołuje i odwołuje Prezes Rady Ministrów, na wniosek ministra właściwego do spraw zabezpieczenia społecznego.</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Minister właściwy do spraw zabezpieczenia społecznego określi, w drodze rozporządzenia, tryb i sposób przeprowadzania kontroli przez organy upoważnione do kontroli na podstawie art. 6c ust. 2 pkt 1 i 2, art. 22a, art. 25d ust. 1, art. 26a ust. 10, art. 30 ust. 3b i art. 34 ust. 5, uwzględniając potrzebę zapewnienia jednolitej procedury kontroli oraz prawidłowego przebiegu kontroli.</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Pełnomocnik wykonuje swoje zadania przy pomocy Biura Pełnomocnika, które stanowi wyodrębnioną komórkę organizacyjną w urzędzie obsługującym ministra właściwego do spraw zabezpieczenia społecznego.</w:t>
      </w:r>
    </w:p>
    <w:p>
      <w:pPr>
        <w:spacing w:before="80" w:after="0"/>
        <w:ind w:left="0"/>
        <w:jc w:val="left"/>
        <w:textAlignment w:val="auto"/>
      </w:pPr>
      <w:r>
        <w:rPr>
          <w:rFonts w:ascii="Times New Roman"/>
          <w:b/>
          <w:i w:val="false"/>
          <w:color w:val="000000"/>
          <w:sz w:val="22"/>
          <w:lang w:val="pl-Pl"/>
        </w:rPr>
        <w:t xml:space="preserve">Art. 35. </w:t>
      </w:r>
      <w:r>
        <w:rPr>
          <w:rFonts w:ascii="Times New Roman"/>
          <w:b/>
          <w:i w:val="false"/>
          <w:color w:val="000000"/>
          <w:sz w:val="22"/>
          <w:lang w:val="pl-Pl"/>
        </w:rPr>
        <w:t xml:space="preserve"> [Zadania samorządu województwa]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 zadań samorządu województwa realizowanych w ramach ustawy należy: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opracowanie i realizacja wojewódzkich programów dotyczących wyrównywania szans osób niepełnosprawnych i przeciwdziałania ich wykluczeniu społecznemu oraz pomocy w realizacji zadań na rzecz zatrudniania osób niepełnosprawnych;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opracowywanie i przedstawianie Pełnomocnikowi informacji o prowadzonej działalności;</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 xml:space="preserve">dofinansowanie robót budowlanych w rozumieniu przepisów </w:t>
      </w:r>
      <w:r>
        <w:rPr>
          <w:rFonts w:ascii="Times New Roman"/>
          <w:b w:val="false"/>
          <w:i w:val="false"/>
          <w:color w:val="1b1b1b"/>
          <w:sz w:val="22"/>
          <w:lang w:val="pl-Pl"/>
        </w:rPr>
        <w:t>ustawy</w:t>
      </w:r>
      <w:r>
        <w:rPr>
          <w:rFonts w:ascii="Times New Roman"/>
          <w:b w:val="false"/>
          <w:i w:val="false"/>
          <w:color w:val="000000"/>
          <w:sz w:val="22"/>
          <w:lang w:val="pl-Pl"/>
        </w:rPr>
        <w:t xml:space="preserve"> z dnia 7 lipca 1994 r. - Prawo budowlane (Dz. U. z 2017 r. poz. 1332 i 1529 oraz z 2018 r. poz. 12), dotyczących obiektów służących rehabilitacji, w związku z potrzebami osób niepełnosprawnych, z wyjątkiem rozbiórki tych obiektów;</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dofinansowanie kosztów tworzenia i działania zakładów aktywności zawodowej;</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współpraca z organami administracji rządowej oraz powiatami i gminami w realizacji zadań wynikających z ustawy;</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współpraca z organizacjami pozarządowymi i fundacjami działającymi na rzecz osób niepełnosprawnych;</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opiniowanie wniosku o wpis do rejestru, o którym mowa w art. 10d ust. 2.</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Sejmik województwa w formie uchwały określa zadania, na które przeznacza środki określone w art. 48 ust. 1 pkt 1.</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Minister właściwy do spraw zabezpieczenia społecznego określi, w drodze rozporządzenia, zadania samorządu województwa, które mogą być dofinansowane ze środków Funduszu oraz warunki i tryb dofinansowywania robót budowlanych, o których mowa w ust. 1 pkt 5, mając na względzie potrzeby w zakresie realizacji zadań na rzecz osób niepełnosprawnych.</w:t>
      </w:r>
    </w:p>
    <w:p>
      <w:pPr>
        <w:spacing w:before="80" w:after="0"/>
        <w:ind w:left="0"/>
        <w:jc w:val="left"/>
        <w:textAlignment w:val="auto"/>
      </w:pPr>
      <w:r>
        <w:rPr>
          <w:rFonts w:ascii="Times New Roman"/>
          <w:b/>
          <w:i w:val="false"/>
          <w:color w:val="000000"/>
          <w:sz w:val="22"/>
          <w:lang w:val="pl-Pl"/>
        </w:rPr>
        <w:t xml:space="preserve">Art. 35a. </w:t>
      </w:r>
      <w:r>
        <w:rPr>
          <w:rFonts w:ascii="Times New Roman"/>
          <w:b/>
          <w:i w:val="false"/>
          <w:color w:val="000000"/>
          <w:sz w:val="22"/>
          <w:lang w:val="pl-Pl"/>
        </w:rPr>
        <w:t xml:space="preserve"> [Zadania samorządu powiatu]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 zadań powiatu należy: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opracowywanie i realizacja, zgodnych z powiatową strategią dotyczącą rozwiązywania problemów społecznych, powiatowych programów działań na rzecz osób niepełnosprawnych w zakresie:</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rehabilitacji społecznej,</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rehabilitacji zawodowej i zatrudniania,</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przestrzegania praw osób niepełnosprawnych;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współpraca z instytucjami administracji rządowej i samorządowej w opracowywaniu i realizacji programów, o których mowa w pkt 1;</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udostępnianie na potrzeby Pełnomocnika i samorządu województwa oraz przekazywanie właściwemu wojewodzie uchwalonych przez radę powiatu programów, o których mowa w pkt 1, oraz rocznej informacji z ich realizacji;</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podejmowanie działań zmierzających do ograniczania skutków niepełnosprawności;</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opracowywanie i przedstawianie planów zadań i informacji z prowadzonej działalności oraz ich udostępnianie na potrzeby samorządu województwa;</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współpraca z organizacjami pozarządowymi i fundacjami działającymi na rzecz osób niepełnosprawnych w zakresie rehabilitacji społecznej i zawodowej tych osób;</w:t>
      </w:r>
    </w:p>
    <w:p>
      <w:pPr>
        <w:spacing w:before="26" w:after="0"/>
        <w:ind w:left="373"/>
        <w:jc w:val="left"/>
        <w:textAlignment w:val="auto"/>
      </w:pPr>
      <w:r>
        <w:rPr>
          <w:rFonts w:ascii="Times New Roman"/>
          <w:b w:val="false"/>
          <w:i w:val="false"/>
          <w:color w:val="000000"/>
          <w:sz w:val="22"/>
          <w:lang w:val="pl-Pl"/>
        </w:rPr>
        <w:t xml:space="preserve">6a) </w:t>
      </w:r>
      <w:r>
        <w:rPr>
          <w:rFonts w:ascii="Times New Roman"/>
          <w:b w:val="false"/>
          <w:i w:val="false"/>
          <w:color w:val="000000"/>
          <w:sz w:val="22"/>
          <w:lang w:val="pl-Pl"/>
        </w:rPr>
        <w:t xml:space="preserve">finansowanie z Funduszu wydatków na instrumenty lub usługi rynku pracy określone w </w:t>
      </w:r>
      <w:r>
        <w:rPr>
          <w:rFonts w:ascii="Times New Roman"/>
          <w:b w:val="false"/>
          <w:i w:val="false"/>
          <w:color w:val="1b1b1b"/>
          <w:sz w:val="22"/>
          <w:lang w:val="pl-Pl"/>
        </w:rPr>
        <w:t>ustawie</w:t>
      </w:r>
      <w:r>
        <w:rPr>
          <w:rFonts w:ascii="Times New Roman"/>
          <w:b w:val="false"/>
          <w:i w:val="false"/>
          <w:color w:val="000000"/>
          <w:sz w:val="22"/>
          <w:lang w:val="pl-Pl"/>
        </w:rPr>
        <w:t xml:space="preserve"> o promocji, w odniesieniu do osób niepełnosprawnych zarejestrowanych jako poszukujące pracy niepozostające w zatrudnieniu;</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dofinansowanie:</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uczestnictwa osób niepełnosprawnych i ich opiekunów w turnusach rehabilitacyjnych,</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sportu, kultury, rekreacji i turystyki osób niepełnosprawnych,</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zaopatrzenia w sprzęt rehabilitacyjny, przedmioty ortopedyczne i środki pomocnicze przyznawane osobom niepełnosprawnym na podstawie odrębnych przepisów,</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likwidacji barier architektonicznych, w komunikowaniu się i technicznych, w związku z indywidualnymi potrzebami osób niepełnosprawnych,</w:t>
      </w:r>
    </w:p>
    <w:p>
      <w:pPr>
        <w:spacing w:after="0"/>
        <w:ind w:left="746"/>
        <w:jc w:val="left"/>
        <w:textAlignment w:val="auto"/>
      </w:pPr>
      <w:r>
        <w:rPr>
          <w:rFonts w:ascii="Times New Roman"/>
          <w:b w:val="false"/>
          <w:i w:val="false"/>
          <w:color w:val="000000"/>
          <w:sz w:val="22"/>
          <w:lang w:val="pl-Pl"/>
        </w:rPr>
        <w:t xml:space="preserve">e) </w:t>
      </w:r>
      <w:r>
        <w:rPr>
          <w:rFonts w:ascii="Times New Roman"/>
          <w:b w:val="false"/>
          <w:i w:val="false"/>
          <w:color w:val="000000"/>
          <w:sz w:val="22"/>
          <w:lang w:val="pl-Pl"/>
        </w:rPr>
        <w:t>rehabilitacji dzieci i młodzieży,</w:t>
      </w:r>
    </w:p>
    <w:p>
      <w:pPr>
        <w:spacing w:after="0"/>
        <w:ind w:left="746"/>
        <w:jc w:val="left"/>
        <w:textAlignment w:val="auto"/>
      </w:pPr>
      <w:r>
        <w:rPr>
          <w:rFonts w:ascii="Times New Roman"/>
          <w:b w:val="false"/>
          <w:i w:val="false"/>
          <w:color w:val="000000"/>
          <w:sz w:val="22"/>
          <w:lang w:val="pl-Pl"/>
        </w:rPr>
        <w:t xml:space="preserve">f) </w:t>
      </w:r>
      <w:r>
        <w:rPr>
          <w:rFonts w:ascii="Times New Roman"/>
          <w:b w:val="false"/>
          <w:i w:val="false"/>
          <w:color w:val="000000"/>
          <w:sz w:val="22"/>
          <w:lang w:val="pl-Pl"/>
        </w:rPr>
        <w:t>usług tłumacza języka migowego lub tłumacza-przewodnika;</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dofinansowanie kosztów tworzenia i działania warsztatów terapii zajęciowej;</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pośrednictwo pracy i poradnictwo zawodowe dla osób niepełnosprawnych, ich szkolenie oraz przekwalifikowanie;</w:t>
      </w:r>
    </w:p>
    <w:p>
      <w:pPr>
        <w:spacing w:before="26" w:after="0"/>
        <w:ind w:left="373"/>
        <w:jc w:val="left"/>
        <w:textAlignment w:val="auto"/>
      </w:pPr>
      <w:r>
        <w:rPr>
          <w:rFonts w:ascii="Times New Roman"/>
          <w:b w:val="false"/>
          <w:i w:val="false"/>
          <w:color w:val="000000"/>
          <w:sz w:val="22"/>
          <w:lang w:val="pl-Pl"/>
        </w:rPr>
        <w:t xml:space="preserve">9a) </w:t>
      </w:r>
      <w:r>
        <w:rPr>
          <w:rFonts w:ascii="Times New Roman"/>
          <w:b w:val="false"/>
          <w:i w:val="false"/>
          <w:color w:val="000000"/>
          <w:sz w:val="22"/>
          <w:vertAlign w:val="superscript"/>
          <w:lang w:val="pl-Pl"/>
        </w:rPr>
        <w:t>39</w:t>
      </w:r>
      <w:r>
        <w:rPr>
          <w:rFonts w:ascii="Times New Roman"/>
          <w:b w:val="false"/>
          <w:i w:val="false"/>
          <w:color w:val="000000"/>
          <w:sz w:val="22"/>
          <w:lang w:val="pl-Pl"/>
        </w:rPr>
        <w:t xml:space="preserve"> </w:t>
      </w:r>
      <w:r>
        <w:rPr>
          <w:rFonts w:ascii="Times New Roman"/>
          <w:b w:val="false"/>
          <w:i w:val="false"/>
          <w:color w:val="000000"/>
          <w:sz w:val="22"/>
          <w:lang w:val="pl-Pl"/>
        </w:rPr>
        <w:t xml:space="preserve"> przyznawanie środków, o których mowa w art. 12a i art. 26g;</w:t>
      </w:r>
    </w:p>
    <w:p>
      <w:pPr>
        <w:spacing w:before="26" w:after="0"/>
        <w:ind w:left="373"/>
        <w:jc w:val="left"/>
        <w:textAlignment w:val="auto"/>
      </w:pPr>
      <w:r>
        <w:rPr>
          <w:rFonts w:ascii="Times New Roman"/>
          <w:b w:val="false"/>
          <w:i w:val="false"/>
          <w:color w:val="000000"/>
          <w:sz w:val="22"/>
          <w:lang w:val="pl-Pl"/>
        </w:rPr>
        <w:t xml:space="preserve">9b) </w:t>
      </w:r>
      <w:r>
        <w:rPr>
          <w:rFonts w:ascii="Times New Roman"/>
          <w:b w:val="false"/>
          <w:i w:val="false"/>
          <w:color w:val="000000"/>
          <w:sz w:val="22"/>
          <w:lang w:val="pl-Pl"/>
        </w:rPr>
        <w:t>realizacja zadań, o których mowa w art. 26, art. 26d i art. 26e;</w:t>
      </w:r>
    </w:p>
    <w:p>
      <w:pPr>
        <w:spacing w:before="26" w:after="0"/>
        <w:ind w:left="373"/>
        <w:jc w:val="left"/>
        <w:textAlignment w:val="auto"/>
      </w:pPr>
      <w:r>
        <w:rPr>
          <w:rFonts w:ascii="Times New Roman"/>
          <w:b w:val="false"/>
          <w:i w:val="false"/>
          <w:color w:val="000000"/>
          <w:sz w:val="22"/>
          <w:lang w:val="pl-Pl"/>
        </w:rPr>
        <w:t xml:space="preserve">9c) </w:t>
      </w:r>
      <w:r>
        <w:rPr>
          <w:rFonts w:ascii="Times New Roman"/>
          <w:b w:val="false"/>
          <w:i w:val="false"/>
          <w:color w:val="000000"/>
          <w:sz w:val="22"/>
          <w:lang w:val="pl-Pl"/>
        </w:rPr>
        <w:t>zlecanie zadań zgodnie z art. 36;</w:t>
      </w:r>
    </w:p>
    <w:p>
      <w:pPr>
        <w:spacing w:before="26" w:after="0"/>
        <w:ind w:left="373"/>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kierowanie osób niepełnosprawnych, które wymagają specjalistycznego programu szkolenia oraz rehabilitacji leczniczej i społecznej, do specjalistycznego ośrodka szkoleniowo-rehabilitacyjnego lub innej placówki szkoleniowej;</w:t>
      </w:r>
    </w:p>
    <w:p>
      <w:pPr>
        <w:spacing w:before="26" w:after="0"/>
        <w:ind w:left="373"/>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współpraca z organami rentowymi w zakresie wynikającym z odrębnych przepisów;</w:t>
      </w:r>
    </w:p>
    <w:p>
      <w:pPr>
        <w:spacing w:before="26" w:after="0"/>
        <w:ind w:left="373"/>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doradztwo organizacyjno-prawne i ekonomiczne w zakresie działalności gospodarczej lub rolniczej podejmowanej przez osoby niepełnosprawne;</w:t>
      </w:r>
    </w:p>
    <w:p>
      <w:pPr>
        <w:spacing w:before="26" w:after="0"/>
        <w:ind w:left="373"/>
        <w:jc w:val="left"/>
        <w:textAlignment w:val="auto"/>
      </w:pPr>
      <w:r>
        <w:rPr>
          <w:rFonts w:ascii="Times New Roman"/>
          <w:b w:val="false"/>
          <w:i w:val="false"/>
          <w:color w:val="000000"/>
          <w:sz w:val="22"/>
          <w:lang w:val="pl-Pl"/>
        </w:rPr>
        <w:t xml:space="preserve">13) </w:t>
      </w:r>
      <w:r>
        <w:rPr>
          <w:rFonts w:ascii="Times New Roman"/>
          <w:b w:val="false"/>
          <w:i w:val="false"/>
          <w:color w:val="000000"/>
          <w:sz w:val="22"/>
          <w:lang w:val="pl-Pl"/>
        </w:rPr>
        <w:t>współpraca z właściwym terenowo inspektorem pracy w zakresie oceny i kontroli miejsc pracy osób niepełnosprawnych.</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Zadania, o których mowa w ust. 1:</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pkt 1 lit. a i c, pkt 6 oraz w pkt 9c w części dotyczącej rehabilitacji społecznej osób niepełnosprawnych, a także w pkt 4, 5, 7 i 8 - są realizowane przez powiatowe centra pomocy rodzinie;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pkt 1 lit. b i c, pkt 6 oraz w pkt 9c w części dotyczącej rehabilitacji zawodowej osób niepełnosprawnych, a także w pkt 9-9b oraz 10-13 - są realizowane przez powiatowe urzędy pracy.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Rada powiatu w formie uchwały określa zadania, na które przeznacza środki określone w art. 48 ust. 1 pkt 1.</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Minister właściwy do spraw zabezpieczenia społecznego określi, w drodze rozporządzenia, rodzaje zadań, o których mowa w ust. 1, które mogą być finansowane ze środków Funduszu, uwzględniając w szczególności wymagania, jakie powinny spełniać podmioty ubiegające się o dofinansowanie tych zadań, a także tryb postępowania i zasady ich dofinansowania ze środków Funduszu.</w:t>
      </w:r>
    </w:p>
    <w:p>
      <w:pPr>
        <w:spacing w:before="80" w:after="0"/>
        <w:ind w:left="0"/>
        <w:jc w:val="left"/>
        <w:textAlignment w:val="auto"/>
      </w:pPr>
      <w:r>
        <w:rPr>
          <w:rFonts w:ascii="Times New Roman"/>
          <w:b/>
          <w:i w:val="false"/>
          <w:color w:val="000000"/>
          <w:sz w:val="22"/>
          <w:lang w:val="pl-Pl"/>
        </w:rPr>
        <w:t xml:space="preserve">Art. 35b.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35c. </w:t>
      </w:r>
      <w:r>
        <w:rPr>
          <w:rFonts w:ascii="Times New Roman"/>
          <w:b/>
          <w:i w:val="false"/>
          <w:color w:val="000000"/>
          <w:sz w:val="22"/>
          <w:lang w:val="pl-Pl"/>
        </w:rPr>
        <w:t xml:space="preserve"> [Obowiązek sprawozdawczy]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Zarządy województw i zarządy powiatów przedstawiają Prezesowi Zarządu Funduszu sprawozdania rzeczowo-finansowe o zadaniach zrealizowanych z otrzymanych z Funduszu środków.</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36. </w:t>
      </w:r>
      <w:r>
        <w:rPr>
          <w:rFonts w:ascii="Times New Roman"/>
          <w:b/>
          <w:i w:val="false"/>
          <w:color w:val="000000"/>
          <w:sz w:val="22"/>
          <w:lang w:val="pl-Pl"/>
        </w:rPr>
        <w:t xml:space="preserve"> [Realizacja zadań przez fundacje lub organizacje pozarządowe]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Zadania z zakresu rehabilitacji zawodowej i społecznej osób niepełnosprawnych mogą być realizowane na zlecenie Funduszu przez fundacje oraz organizacje pozarządowe.</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Zadania, o których mowa w ust. 1, mogą być realizowane ze środków Funduszu przez fundacje i organizacje pozarządowe również na zlecenie samorządu województwa lub powiatu.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Do zlecania zadań, o którym mowa w ust. 1 i 2, stosuje się odpowiednio przepisy </w:t>
      </w:r>
      <w:r>
        <w:rPr>
          <w:rFonts w:ascii="Times New Roman"/>
          <w:b w:val="false"/>
          <w:i w:val="false"/>
          <w:color w:val="1b1b1b"/>
          <w:sz w:val="22"/>
          <w:lang w:val="pl-Pl"/>
        </w:rPr>
        <w:t>ustawy</w:t>
      </w:r>
      <w:r>
        <w:rPr>
          <w:rFonts w:ascii="Times New Roman"/>
          <w:b w:val="false"/>
          <w:i w:val="false"/>
          <w:color w:val="000000"/>
          <w:sz w:val="22"/>
          <w:lang w:val="pl-Pl"/>
        </w:rPr>
        <w:t xml:space="preserve"> z dnia 24 kwietnia 2003 r. o działalności pożytku publicznego i o wolontariacie.</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Minister właściwy do spraw zabezpieczenia społecznego określi, w drodze rozporządzenia, rodzaje zadań z zakresu rehabilitacji zawodowej i społecznej osób niepełnosprawnych, które mogą być zlecane fundacjom oraz organizacjom pozarządowym, mając na względzie zapewnienie realizacji potrzeb osób niepełnosprawnych.</w:t>
      </w:r>
    </w:p>
    <w:p>
      <w:pPr>
        <w:spacing w:before="146" w:after="0"/>
        <w:ind w:left="0"/>
        <w:jc w:val="center"/>
        <w:textAlignment w:val="auto"/>
      </w:pPr>
      <w:r>
        <w:rPr>
          <w:rFonts w:ascii="Times New Roman"/>
          <w:b/>
          <w:i w:val="false"/>
          <w:color w:val="000000"/>
          <w:sz w:val="22"/>
          <w:lang w:val="pl-Pl"/>
        </w:rPr>
        <w:t xml:space="preserve">Rozdział 8 </w:t>
      </w:r>
    </w:p>
    <w:p>
      <w:pPr>
        <w:spacing w:before="25" w:after="0"/>
        <w:ind w:left="0"/>
        <w:jc w:val="center"/>
        <w:textAlignment w:val="auto"/>
      </w:pPr>
      <w:r>
        <w:rPr>
          <w:rFonts w:ascii="Times New Roman"/>
          <w:b/>
          <w:i w:val="false"/>
          <w:color w:val="000000"/>
          <w:sz w:val="22"/>
          <w:lang w:val="pl-Pl"/>
        </w:rPr>
        <w:t>Szkolenie osób niepełnosprawnych</w:t>
      </w:r>
    </w:p>
    <w:p>
      <w:pPr>
        <w:spacing w:before="80" w:after="0"/>
        <w:ind w:left="0"/>
        <w:jc w:val="left"/>
        <w:textAlignment w:val="auto"/>
      </w:pPr>
      <w:r>
        <w:rPr>
          <w:rFonts w:ascii="Times New Roman"/>
          <w:b/>
          <w:i w:val="false"/>
          <w:color w:val="000000"/>
          <w:sz w:val="22"/>
          <w:lang w:val="pl-Pl"/>
        </w:rPr>
        <w:t xml:space="preserve">Art. 37. </w:t>
      </w:r>
      <w:r>
        <w:rPr>
          <w:rFonts w:ascii="Times New Roman"/>
          <w:b/>
          <w:i w:val="false"/>
          <w:color w:val="000000"/>
          <w:sz w:val="22"/>
          <w:lang w:val="pl-Pl"/>
        </w:rPr>
        <w:t xml:space="preserve"> [Formy szkoleń]</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Szkolenie osób niepełnosprawnych odbywa się w formach pozaszkolnych w celu nauki zawodu, przekwalifikowania lub podwyższenia kwalifikacji.</w:t>
      </w:r>
    </w:p>
    <w:p>
      <w:pPr>
        <w:spacing w:before="80" w:after="0"/>
        <w:ind w:left="0"/>
        <w:jc w:val="left"/>
        <w:textAlignment w:val="auto"/>
      </w:pPr>
      <w:r>
        <w:rPr>
          <w:rFonts w:ascii="Times New Roman"/>
          <w:b/>
          <w:i w:val="false"/>
          <w:color w:val="000000"/>
          <w:sz w:val="22"/>
          <w:lang w:val="pl-Pl"/>
        </w:rPr>
        <w:t xml:space="preserve">Art. 38. </w:t>
      </w:r>
      <w:r>
        <w:rPr>
          <w:rFonts w:ascii="Times New Roman"/>
          <w:b/>
          <w:i w:val="false"/>
          <w:color w:val="000000"/>
          <w:sz w:val="22"/>
          <w:lang w:val="pl-Pl"/>
        </w:rPr>
        <w:t xml:space="preserve"> [Inicjowanie i organizacja szkoleń]</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Kierownik powiatowego urzędu pracy inicjuje i organizuje szkolenie dla bezrobotnych osób niepełnosprawnych lub innych osób niepełnosprawnych poszukujących pracy i niepozostających w zatrudnieniu, a zarejestrowanych w powiatowym urzędzie pracy, w celu zwiększenia ich szans na uzyskanie zatrudnienia, podwyższenia dotychczasowych kwalifikacji zawodowych lub zwiększenia aktywności zawodowej, a w szczególności w razie: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braku kwalifikacji zawodowych;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konieczności zmiany kwalifikacji w związku z brakiem propozycji odpowiedniego zatrudnienia;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utraty zdolności do pracy w dotychczas wykonywanym zawodzie.</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Szkoleniem, o którym mowa w ust. 1, mogą być objęte również osoby niepełnosprawne będące w okresie wypowiedzenia umowy o pracę z przyczyn niedotyczących pracowników.</w:t>
      </w:r>
    </w:p>
    <w:p>
      <w:pPr>
        <w:spacing w:before="80" w:after="0"/>
        <w:ind w:left="0"/>
        <w:jc w:val="left"/>
        <w:textAlignment w:val="auto"/>
      </w:pPr>
      <w:r>
        <w:rPr>
          <w:rFonts w:ascii="Times New Roman"/>
          <w:b/>
          <w:i w:val="false"/>
          <w:color w:val="000000"/>
          <w:sz w:val="22"/>
          <w:lang w:val="pl-Pl"/>
        </w:rPr>
        <w:t xml:space="preserve">Art. 38a.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39. </w:t>
      </w:r>
      <w:r>
        <w:rPr>
          <w:rFonts w:ascii="Times New Roman"/>
          <w:b/>
          <w:i w:val="false"/>
          <w:color w:val="000000"/>
          <w:sz w:val="22"/>
          <w:lang w:val="pl-Pl"/>
        </w:rPr>
        <w:t xml:space="preserve"> [Miejsce szkoleń]</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Szkolenie osób niepełnosprawnych może odbywać się:</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placówkach szkolących;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specjalistycznych ośrodkach szkoleniowo-rehabilitacyjnych, zwanych dalej "specjalistycznymi ośrodkami", zapewniających warunki realizacji zadań określonych w ust. 3.</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Specjalistyczne ośrodki są tworzone i likwidowane przez marszałka województwa w porozumieniu z Pełnomocnikiem. Samorząd województwa może zlecać innym podmiotom zadania, o których mowa w ust. 3.</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 zadań specjalistycznego ośrodka należy: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prowadzenie szkolenia osób, które z powodu niepełnosprawności mają utrudniony lub uniemożliwiony dostęp do korzystania ze szkolenia w innych placówkach;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określanie psychofizycznej sprawności danej osoby w stosunku do wymagań różnych zawodów;</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określanie, przez zastosowanie odpowiednich testów sprawności i prób praktycznych, uzdolnienia i możliwości rozwoju zdolności danej osoby;</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zapewnienie uczestnikom szkolenia zakwaterowania, wyżywienia, pomocy dydaktycznej oraz opieki medycznej i usług rehabilitacyjnych.</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Koszty utworzenia, działalności oraz realizacji zadań specjalistycznego ośrodka powinny być pokrywane ze środków Funduszu.</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Minister właściwy do spraw zabezpieczenia społecznego określi, w drodze rozporządzenia, sposób tworzenia, działania i finansowania specjalistycznych ośrodków, a także zlecania zadań, o których mowa w ust. 3, oraz tryb sprawowania nadzoru nad ich działalnością.</w:t>
      </w:r>
    </w:p>
    <w:p>
      <w:pPr>
        <w:spacing w:before="80" w:after="0"/>
        <w:ind w:left="0"/>
        <w:jc w:val="left"/>
        <w:textAlignment w:val="auto"/>
      </w:pPr>
      <w:r>
        <w:rPr>
          <w:rFonts w:ascii="Times New Roman"/>
          <w:b/>
          <w:i w:val="false"/>
          <w:color w:val="000000"/>
          <w:sz w:val="22"/>
          <w:lang w:val="pl-Pl"/>
        </w:rPr>
        <w:t xml:space="preserve">Art. 40. </w:t>
      </w:r>
      <w:r>
        <w:rPr>
          <w:rFonts w:ascii="Times New Roman"/>
          <w:b/>
          <w:i w:val="false"/>
          <w:color w:val="000000"/>
          <w:sz w:val="22"/>
          <w:lang w:val="pl-Pl"/>
        </w:rPr>
        <w:t xml:space="preserve"> [Kierowanie na szkolenia. Koszty i czas trwania szkolenia]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Kierownik powiatowego urzędu pracy kieruje osobę niepełnosprawną, o której mowa w art. 38, na szkolenie: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 własnej inicjatywy lub na podstawie orzeczenia właściwego organu;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wskazane przez tę osobę, jeżeli zostanie uprawdopodobnione, że szkolenie to zapewni uzyskanie pracy i spełniony jest przynajmniej jeden z warunków wymienionych w art. 38; koszt tego szkolenia nie może przekroczyć dziesięciokrotnego przeciętnego wynagrodzenia.</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Koszty szkolenia obejmują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uprzednio uzgodnioną należność przysługującą jednostce szkolącej;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koszt ubezpieczenia od nieszczęśliwych wypadków;</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koszt zakwaterowania i wyżywienia w części albo w całości;</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koszt przejazdu na szkolenie, w tym koszt przejazdu przewodnika lub opiekuna osoby zaliczonej do znacznego stopnia niepełnosprawności;</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koszt usług tłumacza języka migowego albo lektora dla niewidomych lub osoby towarzyszącej osobie niepełnosprawnej ruchowo zaliczonej do znacznego stopnia niepełnosprawności;</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koszt niezbędnych badań lekarskich, psychologicznych, diagnostycznych i usług rehabilitacyjnych.</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Szkolenie trwa nie dłużej niż 36 miesięcy.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Koszty szkolenia są finansowane ze środków Funduszu.</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Osoba niepełnosprawna, która nie ukończyła szkolenia z własnej winy, jest obowiązana do zwrotu jego kosztów, chyba że powodem nieukończenia szkolenia było podjęcie zatrudnienia.</w:t>
      </w:r>
    </w:p>
    <w:p>
      <w:pPr>
        <w:spacing w:before="80" w:after="0"/>
        <w:ind w:left="0"/>
        <w:jc w:val="left"/>
        <w:textAlignment w:val="auto"/>
      </w:pPr>
      <w:r>
        <w:rPr>
          <w:rFonts w:ascii="Times New Roman"/>
          <w:b/>
          <w:i w:val="false"/>
          <w:color w:val="000000"/>
          <w:sz w:val="22"/>
          <w:lang w:val="pl-Pl"/>
        </w:rPr>
        <w:t xml:space="preserve">Art. 41. </w:t>
      </w:r>
      <w:r>
        <w:rPr>
          <w:rFonts w:ascii="Times New Roman"/>
          <w:b/>
          <w:i w:val="false"/>
          <w:color w:val="000000"/>
          <w:sz w:val="22"/>
          <w:lang w:val="pl-Pl"/>
        </w:rPr>
        <w:t xml:space="preserve"> [Organizowanie szkoleń przez pracodawcę]</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Szkolenie osób niepełnosprawnych może być organizowane także przez pracodawcę.</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Na wniosek pracodawcy poniesione przez niego koszty szkolenia zatrudnionych osób niepełnosprawnych mogą być zrefundowane ze środków Funduszu do wysokości 70% tych kosztów, nie więcej jednak niż do wysokości dwukrotnego przeciętnego wynagrodzenia na jedną osobę.</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Zwrotu kosztów, o których mowa w ust. 2, dokonuje starosta na warunkach i w wysokości określonych w umowie zawartej z pracodawcą. Zwrotowi nie podlegają koszty poniesione przez pracodawcę przed datą podpisania umowy.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Minister właściwy do spraw zabezpieczenia społecznego określi, w drodze rozporządzenia, warunki i tryb dokonywania refundacji kosztów szkolenia, mając na względzie zapewnienie skuteczności udzielanej pomocy oraz prawidłowe dokonywanie refundacji zgodnie z warunkami dopuszczalności pomocy na szkolenia.</w:t>
      </w:r>
    </w:p>
    <w:p>
      <w:pPr>
        <w:spacing w:before="80" w:after="0"/>
        <w:ind w:left="0"/>
        <w:jc w:val="left"/>
        <w:textAlignment w:val="auto"/>
      </w:pPr>
      <w:r>
        <w:rPr>
          <w:rFonts w:ascii="Times New Roman"/>
          <w:b/>
          <w:i w:val="false"/>
          <w:color w:val="000000"/>
          <w:sz w:val="22"/>
          <w:lang w:val="pl-Pl"/>
        </w:rPr>
        <w:t xml:space="preserve">Art. 41a. </w:t>
      </w:r>
      <w:r>
        <w:rPr>
          <w:rFonts w:ascii="Times New Roman"/>
          <w:b/>
          <w:i w:val="false"/>
          <w:color w:val="000000"/>
          <w:sz w:val="22"/>
          <w:lang w:val="pl-Pl"/>
        </w:rPr>
        <w:t xml:space="preserve"> [Informacje o przebiegu szkoleń]</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Placówki szkolące i specjalistyczne ośrodki oraz pracodawcy przeprowadzający szkolenia przesyłają samorządowi województwa półroczne informacje o przebiegu szkoleń.</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Informacje, o których mowa w ust. 1, przekazuje się, na jego wniosek, kierownikowi powiatowego urzędu pracy, który skierował osobę niepełnosprawną na szkolenie.</w:t>
      </w:r>
    </w:p>
    <w:p>
      <w:pPr>
        <w:spacing w:before="146" w:after="0"/>
        <w:ind w:left="0"/>
        <w:jc w:val="center"/>
        <w:textAlignment w:val="auto"/>
      </w:pPr>
      <w:r>
        <w:rPr>
          <w:rFonts w:ascii="Times New Roman"/>
          <w:b/>
          <w:i w:val="false"/>
          <w:color w:val="000000"/>
          <w:sz w:val="22"/>
          <w:lang w:val="pl-Pl"/>
        </w:rPr>
        <w:t xml:space="preserve">Rozdział 9 </w:t>
      </w:r>
    </w:p>
    <w:p>
      <w:pPr>
        <w:spacing w:before="25" w:after="0"/>
        <w:ind w:left="0"/>
        <w:jc w:val="center"/>
        <w:textAlignment w:val="auto"/>
      </w:pPr>
      <w:r>
        <w:rPr>
          <w:rFonts w:ascii="Times New Roman"/>
          <w:b/>
          <w:i w:val="false"/>
          <w:color w:val="000000"/>
          <w:sz w:val="22"/>
          <w:lang w:val="pl-Pl"/>
        </w:rPr>
        <w:t>Krajowa Rada Konsultacyjna do Spraw Osób Niepełnosprawnych</w:t>
      </w:r>
    </w:p>
    <w:p>
      <w:pPr>
        <w:spacing w:before="80" w:after="0"/>
        <w:ind w:left="0"/>
        <w:jc w:val="left"/>
        <w:textAlignment w:val="auto"/>
      </w:pPr>
      <w:r>
        <w:rPr>
          <w:rFonts w:ascii="Times New Roman"/>
          <w:b/>
          <w:i w:val="false"/>
          <w:color w:val="000000"/>
          <w:sz w:val="22"/>
          <w:lang w:val="pl-Pl"/>
        </w:rPr>
        <w:t xml:space="preserve">Art. 42. </w:t>
      </w:r>
      <w:r>
        <w:rPr>
          <w:rFonts w:ascii="Times New Roman"/>
          <w:b/>
          <w:i w:val="false"/>
          <w:color w:val="000000"/>
          <w:sz w:val="22"/>
          <w:lang w:val="pl-Pl"/>
        </w:rPr>
        <w:t xml:space="preserve"> [Zadania Rady]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Powołuje się Krajową Radę Konsultacyjną do Spraw Osób Niepełnosprawnych, zwaną dalej "Radą".</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Rada jest organem opiniodawczo-doradczym Pełnomocnika.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 zakresu działania Rady należy: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przedstawianie Pełnomocnikowi:</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propozycji przedsięwzięć zmierzających do integracji osób niepełnosprawnych,</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propozycji rozwiązań w zakresie zaspokajania potrzeb osób niepełnosprawnych, wynikających z niepełnosprawności,</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opinii do dokumentów przedkładanych Radzie przez Pełnomocnika, w tym do projektów:</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aktów prawnych mających lub mogących mieć wpływ na sytuację osób niepełnosprawnych, planów finansowych oraz sprawozdań Funduszu,</w:t>
      </w:r>
    </w:p>
    <w:p>
      <w:pPr>
        <w:spacing w:after="0"/>
        <w:ind w:left="746"/>
        <w:jc w:val="left"/>
        <w:textAlignment w:val="auto"/>
      </w:pPr>
      <w:r>
        <w:rPr>
          <w:rFonts w:ascii="Times New Roman"/>
          <w:b w:val="false"/>
          <w:i w:val="false"/>
          <w:color w:val="000000"/>
          <w:sz w:val="22"/>
          <w:lang w:val="pl-Pl"/>
        </w:rPr>
        <w:t xml:space="preserve">– </w:t>
      </w:r>
      <w:r>
        <w:rPr>
          <w:rFonts w:ascii="Times New Roman"/>
          <w:b w:val="false"/>
          <w:i w:val="false"/>
          <w:color w:val="000000"/>
          <w:sz w:val="22"/>
          <w:lang w:val="pl-Pl"/>
        </w:rPr>
        <w:t>rządowych programów działań na rzecz osób niepełnosprawnych oraz informacji o ich realizacji,</w:t>
      </w:r>
    </w:p>
    <w:p>
      <w:pPr>
        <w:spacing w:after="0"/>
        <w:ind w:left="746"/>
        <w:jc w:val="left"/>
        <w:textAlignment w:val="auto"/>
      </w:pPr>
      <w:r>
        <w:rPr>
          <w:rFonts w:ascii="Times New Roman"/>
          <w:b w:val="false"/>
          <w:i w:val="false"/>
          <w:color w:val="000000"/>
          <w:sz w:val="22"/>
          <w:lang w:val="pl-Pl"/>
        </w:rPr>
        <w:t xml:space="preserve">d) </w:t>
      </w:r>
      <w:r>
        <w:rPr>
          <w:rFonts w:ascii="Times New Roman"/>
          <w:b w:val="false"/>
          <w:i w:val="false"/>
          <w:color w:val="000000"/>
          <w:sz w:val="22"/>
          <w:lang w:val="pl-Pl"/>
        </w:rPr>
        <w:t>rocznych informacji o działalności Rady,</w:t>
      </w:r>
    </w:p>
    <w:p>
      <w:pPr>
        <w:spacing w:after="0"/>
        <w:ind w:left="746"/>
        <w:jc w:val="left"/>
        <w:textAlignment w:val="auto"/>
      </w:pPr>
      <w:r>
        <w:rPr>
          <w:rFonts w:ascii="Times New Roman"/>
          <w:b w:val="false"/>
          <w:i w:val="false"/>
          <w:color w:val="000000"/>
          <w:sz w:val="22"/>
          <w:lang w:val="pl-Pl"/>
        </w:rPr>
        <w:t xml:space="preserve">e) </w:t>
      </w:r>
      <w:r>
        <w:rPr>
          <w:rFonts w:ascii="Times New Roman"/>
          <w:b w:val="false"/>
          <w:i w:val="false"/>
          <w:color w:val="000000"/>
          <w:sz w:val="22"/>
          <w:lang w:val="pl-Pl"/>
        </w:rPr>
        <w:t>opinii w sprawach standardów dotyczących realizacji zadań określonych w ustawie;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sygnalizowanie odpowiednim organom potrzeby wydania lub zmiany przepisów dotyczących sytuacji osób niepełnosprawnych.</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Termin wyrażenia przez Radę opinii wynosi 30 dni od dnia doręczenia dokumentów, o których mowa w ust. 3 pkt 1 lit. c. W uzasadnionych przypadkach, na wniosek Pełnomocnika, termin ten może ulec skróceniu.</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Kadencja Rady trwa 4 lata.</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Wybrany członek Rady, będący przedstawicielem organizacji pozarządowych, o których mowa w art. 43 ust. 1 pkt 3 lit. c, może pełnić funkcję członka Rady nie dłużej niż przez dwie kadencje Rady.</w:t>
      </w:r>
    </w:p>
    <w:p>
      <w:pPr>
        <w:spacing w:before="80" w:after="0"/>
        <w:ind w:left="0"/>
        <w:jc w:val="left"/>
        <w:textAlignment w:val="auto"/>
      </w:pPr>
      <w:r>
        <w:rPr>
          <w:rFonts w:ascii="Times New Roman"/>
          <w:b/>
          <w:i w:val="false"/>
          <w:color w:val="000000"/>
          <w:sz w:val="22"/>
          <w:lang w:val="pl-Pl"/>
        </w:rPr>
        <w:t xml:space="preserve">Art. 43. </w:t>
      </w:r>
      <w:r>
        <w:rPr>
          <w:rFonts w:ascii="Times New Roman"/>
          <w:b/>
          <w:i w:val="false"/>
          <w:color w:val="000000"/>
          <w:sz w:val="22"/>
          <w:lang w:val="pl-Pl"/>
        </w:rPr>
        <w:t xml:space="preserve"> [Członkowie i kadencja Rady]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Rada składa się z:</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pięciu przedstawicieli organów administracji rządowej, w tym jednego przedstawiciela ministra właściwego do spraw finansów publicznych;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pięciu przedstawicieli jednostek samorządu terytorialnego;</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przedstawicieli organizacji pozarządowych, w tym:</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 xml:space="preserve">po jednym przedstawicielu każdej organizacji pracodawców, reprezentatywnej w rozumieniu </w:t>
      </w:r>
      <w:r>
        <w:rPr>
          <w:rFonts w:ascii="Times New Roman"/>
          <w:b w:val="false"/>
          <w:i w:val="false"/>
          <w:color w:val="1b1b1b"/>
          <w:sz w:val="22"/>
          <w:lang w:val="pl-Pl"/>
        </w:rPr>
        <w:t>ustawy</w:t>
      </w:r>
      <w:r>
        <w:rPr>
          <w:rFonts w:ascii="Times New Roman"/>
          <w:b w:val="false"/>
          <w:i w:val="false"/>
          <w:color w:val="000000"/>
          <w:sz w:val="22"/>
          <w:lang w:val="pl-Pl"/>
        </w:rPr>
        <w:t xml:space="preserve"> z dnia 24 lipca 2015 r. o Radzie Dialogu Społecznego i innych instytucjach dialogu społecznego (Dz. U. poz. 1240 oraz z 2017 r. poz. 2371), zwanej dalej "ustawą o Radzie Dialogu Społecznego",</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po jednym przedstawicielu każdej organizacji związkowej, reprezentatywnej w rozumieniu ustawy o Radzie Dialogu Społecznego,</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dwudziestu przedstawicieli organizacji pozarządowych, innych niż wymienione w lit. a i b, a także związków i porozumień organizacji pozarządowych działających na rzecz osób niepełnosprawnych.</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gdy w trakcie trwania kadencji Rady organizacja pracodawców lub organizacja związkowa stanie się organizacją reprezentatywną w rozumieniu ustawy o Radzie Dialogu Społecznego, przedstawiciel tej organizacji wchodzi w skład Rady.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Członków Rady powołuje minister właściwy do spraw zabezpieczenia społecznego na wniosek Pełnomocnika, z tym że powołanie członków Rady reprezentujących:</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jednostki samorządu terytorialnego następuje spośród osób zgłoszonych przez stronę samorządową w Komisji Wspólnej Rządu i Samorządu Terytorialnego;</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organizacje pozarządowe, o których mowa w ust. 1 pkt 3 lit. a i b, następuje spośród osób zgłoszonych przez te organizacje;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organizacje pozarządowe, związki i porozumienia organizacji pozarządowych, o których mowa w ust. 1 pkt 3 lit. c, następuje spośród kandydatów, z których każdy ma poparcie co najmniej 15 organizacji pozarządowych działających na rzecz osób niepełnosprawnych lub co najmniej 3 związków i porozumień organizacji zrzeszających co najmniej 5 organizacji pozarządowych działających na rzecz osób niepełnosprawnych.</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Minister właściwy do spraw zabezpieczenia społecznego może odwołać członka Rady przed upływem kadencji: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 jego wniosek;</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na wniosek reprezentowanego przez niego organu lub organizacji;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przypadku skazania członka Rady prawomocnym wyrokiem za przestępstwo umyślne;</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jeżeli stał się trwale niezdolny do pełnienia obowiązków członka Rady z powodu choroby stwierdzonej orzeczeniem lekarskim;</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w przypadku nieusprawiedliwionej nieobecności na trzech kolejnych posiedzeniach Rady.</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Posiedzenia Rady są zwoływane przez Pełnomocnika.</w:t>
      </w:r>
    </w:p>
    <w:p>
      <w:pPr>
        <w:spacing w:before="80" w:after="0"/>
        <w:ind w:left="0"/>
        <w:jc w:val="left"/>
        <w:textAlignment w:val="auto"/>
      </w:pPr>
      <w:r>
        <w:rPr>
          <w:rFonts w:ascii="Times New Roman"/>
          <w:b/>
          <w:i w:val="false"/>
          <w:color w:val="000000"/>
          <w:sz w:val="22"/>
          <w:lang w:val="pl-Pl"/>
        </w:rPr>
        <w:t xml:space="preserve">Art. 44. </w:t>
      </w:r>
      <w:r>
        <w:rPr>
          <w:rFonts w:ascii="Times New Roman"/>
          <w:b/>
          <w:i w:val="false"/>
          <w:color w:val="000000"/>
          <w:sz w:val="22"/>
          <w:lang w:val="pl-Pl"/>
        </w:rPr>
        <w:t xml:space="preserve"> [Koszty działania Rady]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Wydatki związane z obsługą Rady są finansowane ze środków urzędu obsługującego ministra właściwego do spraw zabezpieczenia społecznego.</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Pracodawca jest obowiązany zwolnić pracownika od pracy w celu wzięcia udziału w posiedzeniach Rady. Za czas zwolnienia pracownik zachowuje prawo do wynagrodzenia ustalonego według zasad obowiązujących przy obliczaniu ekwiwalentu pieniężnego za urlop wypoczynkowy. Koszty wynagrodzenia ponoszone przez pracodawcę są refundowane ze środków urzędu obsługującego ministra właściwego do spraw zabezpieczenia społecznego.</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 xml:space="preserve">Członkom Rady przysługuje zwrot kosztów podróży, na warunkach określonych w przepisach wydanych na podstawie </w:t>
      </w:r>
      <w:r>
        <w:rPr>
          <w:rFonts w:ascii="Times New Roman"/>
          <w:b w:val="false"/>
          <w:i w:val="false"/>
          <w:color w:val="1b1b1b"/>
          <w:sz w:val="22"/>
          <w:lang w:val="pl-Pl"/>
        </w:rPr>
        <w:t>art. 77</w:t>
      </w:r>
      <w:r>
        <w:rPr>
          <w:rFonts w:ascii="Times New Roman"/>
          <w:b w:val="false"/>
          <w:i w:val="false"/>
          <w:color w:val="1b1b1b"/>
          <w:sz w:val="22"/>
          <w:vertAlign w:val="superscript"/>
          <w:lang w:val="pl-Pl"/>
        </w:rPr>
        <w:t>5</w:t>
      </w:r>
      <w:r>
        <w:rPr>
          <w:rFonts w:ascii="Times New Roman"/>
          <w:b w:val="false"/>
          <w:i w:val="false"/>
          <w:color w:val="1b1b1b"/>
          <w:sz w:val="22"/>
          <w:lang w:val="pl-Pl"/>
        </w:rPr>
        <w:t xml:space="preserve"> § 2</w:t>
      </w:r>
      <w:r>
        <w:rPr>
          <w:rFonts w:ascii="Times New Roman"/>
          <w:b w:val="false"/>
          <w:i w:val="false"/>
          <w:color w:val="000000"/>
          <w:sz w:val="22"/>
          <w:lang w:val="pl-Pl"/>
        </w:rPr>
        <w:t xml:space="preserve"> ustawy z dnia 26 czerwca 1974 r. - Kodeks pracy, ze środków urzędu obsługującego ministra właściwego do spraw zabezpieczenia społecznego.</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Minister właściwy do spraw zabezpieczenia społecznego określi, w drodze rozporządzenia, tryb powoływania członków Rady, organizację i tryb działania Rady oraz zasady uczestnictwa w jej pracach przedstawicieli organów administracji publicznej, organizacji pozarządowych niereprezentowanych w Radzie i przedstawicieli wojewódzkich oraz powiatowych rad, uwzględniając potrzebę zapewnienia reprezentatywności grup osób z różnymi rodzajami niepełnosprawności i terminy zgłaszania kandydatów na członków Rady, mając na względzie zapewnienie sprawnego funkcjonowania Rady i wypełniania przez nią obowiązków wynikających z ustawy.</w:t>
      </w:r>
    </w:p>
    <w:p>
      <w:pPr>
        <w:spacing w:before="80" w:after="0"/>
        <w:ind w:left="0"/>
        <w:jc w:val="left"/>
        <w:textAlignment w:val="auto"/>
      </w:pPr>
      <w:r>
        <w:rPr>
          <w:rFonts w:ascii="Times New Roman"/>
          <w:b/>
          <w:i w:val="false"/>
          <w:color w:val="000000"/>
          <w:sz w:val="22"/>
          <w:lang w:val="pl-Pl"/>
        </w:rPr>
        <w:t xml:space="preserve">Art. 44a. </w:t>
      </w:r>
      <w:r>
        <w:rPr>
          <w:rFonts w:ascii="Times New Roman"/>
          <w:b/>
          <w:i w:val="false"/>
          <w:color w:val="000000"/>
          <w:sz w:val="22"/>
          <w:lang w:val="pl-Pl"/>
        </w:rPr>
        <w:t xml:space="preserve"> [Zadania wojewódzkich rad]</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Przy marszałkach województw tworzy się wojewódzkie społeczne rady do spraw osób niepełnosprawnych, zwane dalej "wojewódzkimi radami", będące organami opiniodawczo-doradczymi.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 zakresu działania wojewódzkich rad należy: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inspirowanie przedsięwzięć zmierzających do:</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integracji zawodowej i społecznej osób niepełnosprawnych,</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realizacji praw osób niepełnosprawnych;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opiniowanie projektów wojewódzkich programów działań na rzecz osób niepełnosprawnych;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ocena realizacji programów;</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opiniowanie projektów uchwał i programów przyjmowanych przez sejmik województwa pod kątem ich skutków dla osób niepełnosprawnych.</w:t>
      </w:r>
    </w:p>
    <w:p>
      <w:pPr>
        <w:spacing w:before="80" w:after="0"/>
        <w:ind w:left="0"/>
        <w:jc w:val="left"/>
        <w:textAlignment w:val="auto"/>
      </w:pPr>
      <w:r>
        <w:rPr>
          <w:rFonts w:ascii="Times New Roman"/>
          <w:b/>
          <w:i w:val="false"/>
          <w:color w:val="000000"/>
          <w:sz w:val="22"/>
          <w:lang w:val="pl-Pl"/>
        </w:rPr>
        <w:t xml:space="preserve">Art. 44b. </w:t>
      </w:r>
      <w:r>
        <w:rPr>
          <w:rFonts w:ascii="Times New Roman"/>
          <w:b/>
          <w:i w:val="false"/>
          <w:color w:val="000000"/>
          <w:sz w:val="22"/>
          <w:lang w:val="pl-Pl"/>
        </w:rPr>
        <w:t xml:space="preserve"> [Zadania powiatowych rad]</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Przy starostach tworzy się powiatowe społeczne rady do spraw osób niepełnosprawnych, zwane dalej "powiatowymi radami", będące organami opiniodawczo-doradczymi.</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 zakresu działania powiatowych rad należy: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inspirowanie przedsięwzięć zmierzających do:</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integracji zawodowej i społecznej osób niepełnosprawnych,</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realizacji praw osób niepełnosprawnych;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opiniowanie projektów powiatowych programów działań na rzecz osób niepełnosprawnych;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ocena realizacji programów;</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opiniowanie projektów uchwał i programów przyjmowanych przez radę powiatu pod kątem ich skutków dla osób niepełnosprawnych.</w:t>
      </w:r>
    </w:p>
    <w:p>
      <w:pPr>
        <w:spacing w:before="80" w:after="0"/>
        <w:ind w:left="0"/>
        <w:jc w:val="left"/>
        <w:textAlignment w:val="auto"/>
      </w:pPr>
      <w:r>
        <w:rPr>
          <w:rFonts w:ascii="Times New Roman"/>
          <w:b/>
          <w:i w:val="false"/>
          <w:color w:val="000000"/>
          <w:sz w:val="22"/>
          <w:lang w:val="pl-Pl"/>
        </w:rPr>
        <w:t xml:space="preserve">Art. 44c. </w:t>
      </w:r>
      <w:r>
        <w:rPr>
          <w:rFonts w:ascii="Times New Roman"/>
          <w:b/>
          <w:i w:val="false"/>
          <w:color w:val="000000"/>
          <w:sz w:val="22"/>
          <w:lang w:val="pl-Pl"/>
        </w:rPr>
        <w:t xml:space="preserve"> [Członkowie i kadencja wojewódzkich i powiatowych rad]</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Wojewódzkie rady składają się z 7 osób powoływanych spośród przedstawicieli działających na terenie województwa organizacji pozarządowych, fundacji oraz przedstawicieli wojewody i jednostek samorządu terytorialnego (powiatów i gmin).</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Powiatowe rady składają się z 5 osób, powoływanych spośród przedstawicieli działających na terenie danego powiatu organizacji pozarządowych, fundacji oraz przedstawicieli jednostek samorządu terytorialnego (powiatów i gmin).</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Członków wojewódzkich rad powołuje i odwołuje marszałek województwa, a członków powiatowych rad - starosta, spośród kandydatów zgłoszonych przez organizacje i organy, o których mowa odpowiednio w ust. 1 i 2.</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Rady, o których mowa w ust. 1 i 2, wybierają przewodniczącego spośród swoich członków.</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Członek rady może zostać odwołany:</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 swój wniosek;</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na wniosek organizacji lub organu, które zgłosiły jego kandydaturę;</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na wniosek marszałka lub starosty, po zasięgnięciu opinii organizacji lub organu, które zgłosiły jego kandydaturę.</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Kadencja rad trwa 4 lata.</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Minister właściwy do spraw zabezpieczenia społecznego określi, w drodze rozporządzenia, organizację oraz tryb działania wojewódzkich i powiatowych rad, w tym sposób powoływania i odwoływania członków rad oraz częstotliwość posiedzeń, mając na względzie zapewnienie właściwego wykonywania zadań przez te rady.</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Pracodawca jest obowiązany zwolnić pracownika od pracy w celu wzięcia udziału w posiedzeniach rady. Za czas zwolnienia pracownik zachowuje prawo do wynagrodzenia ustalonego według zasad obowiązujących przy obliczaniu wynagrodzenia za urlop wypoczynkowy.</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Na wniosek członków rady zamieszkałych poza miejscem obrad rady mogą być finansowane, odpowiednio z budżetu samorządu województwa i powiatu, koszty przejazdów na warunkach określonych w przepisach wydanych na podstawie art. 77</w:t>
      </w:r>
      <w:r>
        <w:rPr>
          <w:rFonts w:ascii="Times New Roman"/>
          <w:b w:val="false"/>
          <w:i w:val="false"/>
          <w:color w:val="000000"/>
          <w:sz w:val="22"/>
          <w:vertAlign w:val="superscript"/>
          <w:lang w:val="pl-Pl"/>
        </w:rPr>
        <w:t>5</w:t>
      </w:r>
      <w:r>
        <w:rPr>
          <w:rFonts w:ascii="Times New Roman"/>
          <w:b w:val="false"/>
          <w:i w:val="false"/>
          <w:color w:val="000000"/>
          <w:sz w:val="22"/>
          <w:lang w:val="pl-Pl"/>
        </w:rPr>
        <w:t xml:space="preserve"> § 2 ustawy z dnia 26 czerwca 1974 r. - Kodeks pracy i koszty ekspertyz związanych z realizacją zadań rady wojewódzkiej i powiatowej.</w:t>
      </w:r>
    </w:p>
    <w:p>
      <w:pPr>
        <w:spacing w:before="80" w:after="0"/>
        <w:ind w:left="0"/>
        <w:jc w:val="left"/>
        <w:textAlignment w:val="auto"/>
      </w:pPr>
      <w:r>
        <w:rPr>
          <w:rFonts w:ascii="Times New Roman"/>
          <w:b/>
          <w:i w:val="false"/>
          <w:color w:val="000000"/>
          <w:sz w:val="22"/>
          <w:lang w:val="pl-Pl"/>
        </w:rPr>
        <w:t xml:space="preserve">Art. 44d. </w:t>
      </w:r>
      <w:r>
        <w:rPr>
          <w:rFonts w:ascii="Times New Roman"/>
          <w:b/>
          <w:i w:val="false"/>
          <w:color w:val="000000"/>
          <w:sz w:val="22"/>
          <w:lang w:val="pl-Pl"/>
        </w:rPr>
        <w:t xml:space="preserve"> [Powoływanie ekspertów, zlecanie badań i ekspertyz, zapraszanie innych podmiotów do uczestnictwa w posiedzeniach Rady]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Rada może: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powoływać ekspertów;</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zapraszać do uczestnictwa w jej posiedzeniach przedstawicieli organów administracji publicznej i organizacji pozarządowych niereprezentowanych w Radzie, a także przedstawicieli wojewódzkich oraz powiatowych rad;</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zlecać przeprowadzanie badań i opracowywanie ekspertyz związanych z realizacją jej zadań, po uzyskaniu zgody Pełnomocnika.</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Przepisy dotyczące zwrotu kosztów podróży, o których mowa w art. 44 ust. 2a, stosuje się odpowiednio do ekspertów, przedstawicieli organizacji pozarządowych niereprezentowanych w Radzie, a także przedstawicieli wojewódzkich oraz powiatowych rad.</w:t>
      </w:r>
    </w:p>
    <w:p>
      <w:pPr>
        <w:spacing w:before="146" w:after="0"/>
        <w:ind w:left="0"/>
        <w:jc w:val="center"/>
        <w:textAlignment w:val="auto"/>
      </w:pPr>
      <w:r>
        <w:rPr>
          <w:rFonts w:ascii="Times New Roman"/>
          <w:b/>
          <w:i w:val="false"/>
          <w:color w:val="000000"/>
          <w:sz w:val="22"/>
          <w:lang w:val="pl-Pl"/>
        </w:rPr>
        <w:t xml:space="preserve">Rozdział 10 </w:t>
      </w:r>
    </w:p>
    <w:p>
      <w:pPr>
        <w:spacing w:before="25" w:after="0"/>
        <w:ind w:left="0"/>
        <w:jc w:val="center"/>
        <w:textAlignment w:val="auto"/>
      </w:pPr>
      <w:r>
        <w:rPr>
          <w:rFonts w:ascii="Times New Roman"/>
          <w:b/>
          <w:i w:val="false"/>
          <w:color w:val="000000"/>
          <w:sz w:val="22"/>
          <w:lang w:val="pl-Pl"/>
        </w:rPr>
        <w:t>Państwowy Fundusz Rehabilitacji Osób Niepełnosprawnych</w:t>
      </w:r>
    </w:p>
    <w:p>
      <w:pPr>
        <w:spacing w:before="80" w:after="0"/>
        <w:ind w:left="0"/>
        <w:jc w:val="left"/>
        <w:textAlignment w:val="auto"/>
      </w:pPr>
      <w:r>
        <w:rPr>
          <w:rFonts w:ascii="Times New Roman"/>
          <w:b/>
          <w:i w:val="false"/>
          <w:color w:val="000000"/>
          <w:sz w:val="22"/>
          <w:lang w:val="pl-Pl"/>
        </w:rPr>
        <w:t xml:space="preserve">Art. 45. </w:t>
      </w:r>
      <w:r>
        <w:rPr>
          <w:rFonts w:ascii="Times New Roman"/>
          <w:b/>
          <w:i w:val="false"/>
          <w:color w:val="000000"/>
          <w:sz w:val="22"/>
          <w:lang w:val="pl-Pl"/>
        </w:rPr>
        <w:t xml:space="preserve"> [Status PFRON]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Fundusz jest państwowym funduszem celowym, w rozumieniu przepisów o finansach publicznych, z zastrzeżeniem ust. 2a.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Fundusz posiada osobowość prawną.</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 xml:space="preserve">Do Funduszu nie stosuje się przepisów </w:t>
      </w:r>
      <w:r>
        <w:rPr>
          <w:rFonts w:ascii="Times New Roman"/>
          <w:b w:val="false"/>
          <w:i w:val="false"/>
          <w:color w:val="1b1b1b"/>
          <w:sz w:val="22"/>
          <w:lang w:val="pl-Pl"/>
        </w:rPr>
        <w:t>art. 29 ust. 3</w:t>
      </w:r>
      <w:r>
        <w:rPr>
          <w:rFonts w:ascii="Times New Roman"/>
          <w:b w:val="false"/>
          <w:i w:val="false"/>
          <w:color w:val="000000"/>
          <w:sz w:val="22"/>
          <w:lang w:val="pl-Pl"/>
        </w:rPr>
        <w:t xml:space="preserve"> i </w:t>
      </w:r>
      <w:r>
        <w:rPr>
          <w:rFonts w:ascii="Times New Roman"/>
          <w:b w:val="false"/>
          <w:i w:val="false"/>
          <w:color w:val="1b1b1b"/>
          <w:sz w:val="22"/>
          <w:lang w:val="pl-Pl"/>
        </w:rPr>
        <w:t>4</w:t>
      </w:r>
      <w:r>
        <w:rPr>
          <w:rFonts w:ascii="Times New Roman"/>
          <w:b w:val="false"/>
          <w:i w:val="false"/>
          <w:color w:val="000000"/>
          <w:sz w:val="22"/>
          <w:lang w:val="pl-Pl"/>
        </w:rPr>
        <w:t xml:space="preserve"> ustawy z dnia 27 sierpnia 2009 r. o finansach publicznych.</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Fundusz stosuje zasady rachunkowości określone dla podmiotów, o których mowa w </w:t>
      </w:r>
      <w:r>
        <w:rPr>
          <w:rFonts w:ascii="Times New Roman"/>
          <w:b w:val="false"/>
          <w:i w:val="false"/>
          <w:color w:val="1b1b1b"/>
          <w:sz w:val="22"/>
          <w:lang w:val="pl-Pl"/>
        </w:rPr>
        <w:t>art. 2 ust. 1 pkt 1</w:t>
      </w:r>
      <w:r>
        <w:rPr>
          <w:rFonts w:ascii="Times New Roman"/>
          <w:b w:val="false"/>
          <w:i w:val="false"/>
          <w:color w:val="000000"/>
          <w:sz w:val="22"/>
          <w:lang w:val="pl-Pl"/>
        </w:rPr>
        <w:t xml:space="preserve"> ustawy z dnia 29 września 1994 r. o rachunkowości (Dz. U. z 2017 r. poz. 2342 i 2201 oraz z 2018 r. poz. 62).</w:t>
      </w:r>
    </w:p>
    <w:p>
      <w:pPr>
        <w:spacing w:before="26" w:after="0"/>
        <w:ind w:left="0"/>
        <w:jc w:val="left"/>
        <w:textAlignment w:val="auto"/>
      </w:pPr>
      <w:r>
        <w:rPr>
          <w:rFonts w:ascii="Times New Roman"/>
          <w:b w:val="false"/>
          <w:i w:val="false"/>
          <w:color w:val="000000"/>
          <w:sz w:val="22"/>
          <w:lang w:val="pl-Pl"/>
        </w:rPr>
        <w:t xml:space="preserve">3a. </w:t>
      </w:r>
      <w:r>
        <w:rPr>
          <w:rFonts w:ascii="Times New Roman"/>
          <w:b w:val="false"/>
          <w:i w:val="false"/>
          <w:color w:val="000000"/>
          <w:sz w:val="22"/>
          <w:lang w:val="pl-Pl"/>
        </w:rPr>
        <w:t xml:space="preserve">Przy rozpatrywaniu i rozstrzyganiu spraw przez Fundusz, w zakresie nieuregulowanym w odrębnych przepisach, stosuje się przepisy </w:t>
      </w:r>
      <w:r>
        <w:rPr>
          <w:rFonts w:ascii="Times New Roman"/>
          <w:b w:val="false"/>
          <w:i w:val="false"/>
          <w:color w:val="1b1b1b"/>
          <w:sz w:val="22"/>
          <w:lang w:val="pl-Pl"/>
        </w:rPr>
        <w:t>Kodeksu postępowania administracyjnego</w:t>
      </w:r>
      <w:r>
        <w:rPr>
          <w:rFonts w:ascii="Times New Roman"/>
          <w:b w:val="false"/>
          <w:i w:val="false"/>
          <w:color w:val="000000"/>
          <w:sz w:val="22"/>
          <w:lang w:val="pl-Pl"/>
        </w:rPr>
        <w:t>.</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Nadzór nad Funduszem sprawuje minister właściwy do spraw zabezpieczenia społecznego, który na wniosek Prezesa Zarządu Funduszu, po uzyskaniu pozytywnej opinii Pełnomocnika, zatwierdza statut określający organizację, szczegółowe zasady i tryb działania Funduszu, w tym jego organów.</w:t>
      </w:r>
    </w:p>
    <w:p>
      <w:pPr>
        <w:spacing w:before="80" w:after="0"/>
        <w:ind w:left="0"/>
        <w:jc w:val="left"/>
        <w:textAlignment w:val="auto"/>
      </w:pPr>
      <w:r>
        <w:rPr>
          <w:rFonts w:ascii="Times New Roman"/>
          <w:b/>
          <w:i w:val="false"/>
          <w:color w:val="000000"/>
          <w:sz w:val="22"/>
          <w:lang w:val="pl-Pl"/>
        </w:rPr>
        <w:t xml:space="preserve">Art. 46. </w:t>
      </w:r>
      <w:r>
        <w:rPr>
          <w:rFonts w:ascii="Times New Roman"/>
          <w:b/>
          <w:i w:val="false"/>
          <w:color w:val="000000"/>
          <w:sz w:val="22"/>
          <w:lang w:val="pl-Pl"/>
        </w:rPr>
        <w:t xml:space="preserve"> [Przychody PFRON]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Przychodami Funduszu są:</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wpłaty pracodawców, o których mowa w art. 21 ust. 1, art. 23 oraz art. 31 ust. 3 pkt 1;</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dotacje z budżetu państwa oraz inne dotacje i subwencje;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spadki, zapisy i darowizny;</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dobrowolne wpłaty pracodawców;</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dochody z oprocentowania pożyczek oraz wolnych środków przekazanych w zarządzanie zgodnie z przepisami o finansach publicznych;</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dochody z działalności gospodarczej;</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vertAlign w:val="superscript"/>
          <w:lang w:val="pl-Pl"/>
        </w:rPr>
        <w:t>40</w:t>
      </w:r>
      <w:r>
        <w:rPr>
          <w:rFonts w:ascii="Times New Roman"/>
          <w:b w:val="false"/>
          <w:i w:val="false"/>
          <w:color w:val="000000"/>
          <w:sz w:val="22"/>
          <w:lang w:val="pl-Pl"/>
        </w:rPr>
        <w:t xml:space="preserve"> </w:t>
      </w:r>
      <w:r>
        <w:rPr>
          <w:rFonts w:ascii="Times New Roman"/>
          <w:b w:val="false"/>
          <w:i w:val="false"/>
          <w:color w:val="000000"/>
          <w:sz w:val="22"/>
          <w:lang w:val="pl-Pl"/>
        </w:rPr>
        <w:t xml:space="preserve"> wpłaty, o których mowa w art. 12a ust. 2, art. 26 ust. 7, art. 26e ust. 6, art. 26g ust. 2 i 3, spłaty pożyczek udzielonych z Funduszu na rozpoczęcie działalności gospodarczej albo rolniczej, wraz z oprocentowaniem, oraz zwroty środków pobranych przez pracodawców z Funduszu na szkolenie osoby niepełnosprawnej, która z przyczyn dotyczących pracodawcy nie będzie zatrudniona zgodnie z kierunkiem szkolenia lub będzie zatrudniona przez okres krótszy niż 24 miesiące, wraz z odsetkami, a także zwroty środków pobranych przez pracodawców z Funduszu na pokrycie 60% wynagrodzenia osoby niepełnosprawnej przed opodatkowaniem podatkiem dochodowym oraz 60% jej obowiązkowych składek na ubezpieczenia społeczne od tego wynagrodzenia, która z przyczyn dotyczących pracodawcy będzie zatrudniona przez okres krótszy niż 12 miesięcy, wraz z odsetkami;</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dywidendy;</w:t>
      </w:r>
    </w:p>
    <w:p>
      <w:pPr>
        <w:spacing w:before="26" w:after="0"/>
        <w:ind w:left="373"/>
        <w:jc w:val="left"/>
        <w:textAlignment w:val="auto"/>
      </w:pPr>
      <w:r>
        <w:rPr>
          <w:rFonts w:ascii="Times New Roman"/>
          <w:b w:val="false"/>
          <w:i w:val="false"/>
          <w:color w:val="000000"/>
          <w:sz w:val="22"/>
          <w:lang w:val="pl-Pl"/>
        </w:rPr>
        <w:t xml:space="preserve">8a) </w:t>
      </w:r>
      <w:r>
        <w:rPr>
          <w:rFonts w:ascii="Times New Roman"/>
          <w:b w:val="false"/>
          <w:i w:val="false"/>
          <w:color w:val="000000"/>
          <w:sz w:val="22"/>
          <w:lang w:val="pl-Pl"/>
        </w:rPr>
        <w:t>odsetki od środków, o których mowa w art. 48 ust. 1;</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inne wpłaty.</w:t>
      </w:r>
    </w:p>
    <w:p>
      <w:pPr>
        <w:spacing w:before="80" w:after="0"/>
        <w:ind w:left="0"/>
        <w:jc w:val="left"/>
        <w:textAlignment w:val="auto"/>
      </w:pPr>
      <w:r>
        <w:rPr>
          <w:rFonts w:ascii="Times New Roman"/>
          <w:b/>
          <w:i w:val="false"/>
          <w:color w:val="000000"/>
          <w:sz w:val="22"/>
          <w:lang w:val="pl-Pl"/>
        </w:rPr>
        <w:t xml:space="preserve">Art. 46a. </w:t>
      </w:r>
      <w:r>
        <w:rPr>
          <w:rFonts w:ascii="Times New Roman"/>
          <w:b/>
          <w:i w:val="false"/>
          <w:color w:val="000000"/>
          <w:sz w:val="22"/>
          <w:lang w:val="pl-Pl"/>
        </w:rPr>
        <w:t xml:space="preserve"> [Dotacje celowe]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Fundusz otrzymuje dotacje celowe z budżetu państwa: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 zadanie, o którym mowa w art. 26a - w wysokości do 30% środków zaplanowanych na realizację tego zadania na dany rok;</w:t>
      </w:r>
    </w:p>
    <w:p>
      <w:pPr>
        <w:spacing w:before="26" w:after="0"/>
        <w:ind w:left="373"/>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na zadanie, o którym mowa w art. 47 ust. 2 - w wysokości 50% utraconych dochodów gmin z tytułu zastosowania zwolnień ustawowych, o których mowa w art. 31 ust. 1 pkt 1.</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Kwoty dotacji, o których mowa w ust. 1, ustala się i rozlicza zgodnie z zasadami przyjętymi w budżecie państwa.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Dotacje, o których mowa w ust. 1, są przekazywane na zasadach określonych w odrębnych przepisach przez ministra właściwego do spraw finansów publicznych, w sposób umożliwiający pełne i terminowe wykonywanie zadania.</w:t>
      </w:r>
    </w:p>
    <w:p>
      <w:pPr>
        <w:spacing w:before="80" w:after="0"/>
        <w:ind w:left="0"/>
        <w:jc w:val="left"/>
        <w:textAlignment w:val="auto"/>
      </w:pPr>
      <w:r>
        <w:rPr>
          <w:rFonts w:ascii="Times New Roman"/>
          <w:b/>
          <w:i w:val="false"/>
          <w:color w:val="000000"/>
          <w:sz w:val="22"/>
          <w:lang w:val="pl-Pl"/>
        </w:rPr>
        <w:t xml:space="preserve">Art. 47. </w:t>
      </w:r>
      <w:r>
        <w:rPr>
          <w:rFonts w:ascii="Times New Roman"/>
          <w:b/>
          <w:i w:val="false"/>
          <w:color w:val="000000"/>
          <w:sz w:val="22"/>
          <w:lang w:val="pl-Pl"/>
        </w:rPr>
        <w:t xml:space="preserve"> [Przeznaczanie środków PFRON]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Środki Funduszu, w wysokości do 30% wydatków, przeznacza się na: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realizację działań wyrównujących różnice między regionami, w szczególności w jednostkach samorządu terytorialnego, na terenie których stopa bezrobocia jest wyższa niż 110% średniej stopy bezrobocia w kraju lub nie utworzono warsztatu terapii zajęciowej albo zakładu aktywności zawodowej;</w:t>
      </w:r>
    </w:p>
    <w:p>
      <w:pPr>
        <w:spacing w:before="26" w:after="0"/>
        <w:ind w:left="373"/>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zadania z zakresu rehabilitacji zawodowej i społecznej osób niepełnosprawnych realizowane przez fundacje i organizacje pozarządowe;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realizację programów wspieranych ze środków pomocowych Unii Europejskiej na rzecz osób niepełnosprawnych przewidzianych do wdrożenia w danym roku;</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dofinansowanie zadań wynikających z programów rządowych, w tym ukierunkowanych na rozwój zasobów ludzkich oraz przeciwdziałanie wykluczeniu społecznemu osób niepełnosprawnych, a także pomoc rodzinom, których członkami są osoby niepełnosprawne;</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programy zatwierdzone przez Radę Nadzorczą, służące rehabilitacji społecznej i zawodowej, w szczególności adresowane do osób niepełnosprawnych oraz do rodzin, których członkami są osoby niepełnosprawne;</w:t>
      </w:r>
    </w:p>
    <w:p>
      <w:pPr>
        <w:spacing w:before="26" w:after="0"/>
        <w:ind w:left="373"/>
        <w:jc w:val="left"/>
        <w:textAlignment w:val="auto"/>
      </w:pPr>
      <w:r>
        <w:rPr>
          <w:rFonts w:ascii="Times New Roman"/>
          <w:b w:val="false"/>
          <w:i w:val="false"/>
          <w:color w:val="000000"/>
          <w:sz w:val="22"/>
          <w:lang w:val="pl-Pl"/>
        </w:rPr>
        <w:t xml:space="preserve">4a) </w:t>
      </w:r>
      <w:r>
        <w:rPr>
          <w:rFonts w:ascii="Times New Roman"/>
          <w:b w:val="false"/>
          <w:i w:val="false"/>
          <w:color w:val="000000"/>
          <w:sz w:val="22"/>
          <w:vertAlign w:val="superscript"/>
          <w:lang w:val="pl-Pl"/>
        </w:rPr>
        <w:t>41</w:t>
      </w:r>
      <w:r>
        <w:rPr>
          <w:rFonts w:ascii="Times New Roman"/>
          <w:b w:val="false"/>
          <w:i w:val="false"/>
          <w:color w:val="000000"/>
          <w:sz w:val="22"/>
          <w:lang w:val="pl-Pl"/>
        </w:rPr>
        <w:t xml:space="preserve"> </w:t>
      </w:r>
      <w:r>
        <w:rPr>
          <w:rFonts w:ascii="Times New Roman"/>
          <w:b w:val="false"/>
          <w:i w:val="false"/>
          <w:color w:val="000000"/>
          <w:sz w:val="22"/>
          <w:lang w:val="pl-Pl"/>
        </w:rPr>
        <w:t xml:space="preserve"> program zatwierdzony przez Radę Nadzorczą, służący finansowaniu zajęć klubowych;</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 xml:space="preserve"> zadania inne niż wymienione w ustawie:</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finansowanie w części lub całości badań, ekspertyz i analiz dotyczących rehabilitacji zawodowej i społecznej,</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 xml:space="preserve">szkolenia, o których mowa w </w:t>
      </w:r>
      <w:r>
        <w:rPr>
          <w:rFonts w:ascii="Times New Roman"/>
          <w:b w:val="false"/>
          <w:i w:val="false"/>
          <w:color w:val="1b1b1b"/>
          <w:sz w:val="22"/>
          <w:lang w:val="pl-Pl"/>
        </w:rPr>
        <w:t>art. 18</w:t>
      </w:r>
      <w:r>
        <w:rPr>
          <w:rFonts w:ascii="Times New Roman"/>
          <w:b w:val="false"/>
          <w:i w:val="false"/>
          <w:color w:val="000000"/>
          <w:sz w:val="22"/>
          <w:lang w:val="pl-Pl"/>
        </w:rPr>
        <w:t xml:space="preserve"> ustawy z dnia 19 sierpnia 2011 r. o języku migowym i innych środkach komunikowania się (Dz. U. z 2017 r. poz. 1824).</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W celu realizacji zadań, o których mowa w ust. 1 pkt 2, Fundusz może: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przekazywać instytucji wdrażającej środki na realizację projektów na rzecz osób niepełnosprawnych - na podstawie umowy, która może być zawarta na okres dłuższy niż rok;</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udzielać dotacji, pożyczek oraz finansować odsetki od kredytów udzielonych projektodawcom na realizację programów - zgodnie z umową określającą w szczególności warunki korzystania z tych form pomocy, zawartą z realizatorami programów.</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Środki Funduszu przeznacza się również na zrekompensowanie gminom dochodów utraconych na skutek zastosowania ustawowych zwolnień, o których mowa w art. 31 ust. 1 pkt 1, w wysokości utraconych dochodów.</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Gminy składają do Funduszu wnioski o wypłatę kwoty rekompensującej dochody utracone z tytułu zwolnień w terminach:</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 dnia 31 lipca roku podatkowego - wykazując przewidywane roczne skutki zwolnień, wynikające z decyzji, dokonanych czynności cywilnoprawnych w formie aktów notarialnych oraz deklaracji i informacji podatkowych na dany rok podatkowy, według stanu na dzień 30 czerwca roku podatkowego, za który sporządzany jest wniosek;</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 dnia 25 marca roku następującego po roku podatkowym - wykazując faktyczne roczne skutki zwolnień, wynikające z decyzji, dokonanych czynności cywilnoprawnych w formie aktów notarialnych oraz deklaracji i informacji podatkowych na dany rok podatkowy, według stanu na dzień 31 grudnia roku podatkowego, za który sporządzany jest wniosek.</w:t>
      </w:r>
    </w:p>
    <w:p>
      <w:pPr>
        <w:spacing w:before="26" w:after="0"/>
        <w:ind w:left="0"/>
        <w:jc w:val="left"/>
        <w:textAlignment w:val="auto"/>
      </w:pPr>
      <w:r>
        <w:rPr>
          <w:rFonts w:ascii="Times New Roman"/>
          <w:b w:val="false"/>
          <w:i w:val="false"/>
          <w:color w:val="000000"/>
          <w:sz w:val="22"/>
          <w:lang w:val="pl-Pl"/>
        </w:rPr>
        <w:t xml:space="preserve">2b. </w:t>
      </w:r>
      <w:r>
        <w:rPr>
          <w:rFonts w:ascii="Times New Roman"/>
          <w:b w:val="false"/>
          <w:i w:val="false"/>
          <w:color w:val="000000"/>
          <w:sz w:val="22"/>
          <w:lang w:val="pl-Pl"/>
        </w:rPr>
        <w:t>W przypadku niezłożenia wniosku, o którym mowa w ust. 2a pkt 2, gmina zwraca do Funduszu otrzymane środki wykazane we wniosku, o którym mowa w ust. 2a pkt 1, wraz z odsetkami naliczonymi od tej kwoty, od dnia jej otrzymania, w wysokości określonej jak dla zaległości podatkowych, w terminie 3 miesięcy od dnia upływu terminu do dnia złożenia wniosku, o którym mowa w ust. 2a pkt 2.</w:t>
      </w:r>
    </w:p>
    <w:p>
      <w:pPr>
        <w:spacing w:before="26" w:after="0"/>
        <w:ind w:left="0"/>
        <w:jc w:val="left"/>
        <w:textAlignment w:val="auto"/>
      </w:pPr>
      <w:r>
        <w:rPr>
          <w:rFonts w:ascii="Times New Roman"/>
          <w:b w:val="false"/>
          <w:i w:val="false"/>
          <w:color w:val="000000"/>
          <w:sz w:val="22"/>
          <w:lang w:val="pl-Pl"/>
        </w:rPr>
        <w:t xml:space="preserve">2c. </w:t>
      </w:r>
      <w:r>
        <w:rPr>
          <w:rFonts w:ascii="Times New Roman"/>
          <w:b w:val="false"/>
          <w:i w:val="false"/>
          <w:color w:val="000000"/>
          <w:sz w:val="22"/>
          <w:vertAlign w:val="superscript"/>
          <w:lang w:val="pl-Pl"/>
        </w:rPr>
        <w:t>42</w:t>
      </w:r>
      <w:r>
        <w:rPr>
          <w:rFonts w:ascii="Times New Roman"/>
          <w:b w:val="false"/>
          <w:i w:val="false"/>
          <w:color w:val="000000"/>
          <w:sz w:val="22"/>
          <w:lang w:val="pl-Pl"/>
        </w:rPr>
        <w:t xml:space="preserve"> </w:t>
      </w:r>
      <w:r>
        <w:rPr>
          <w:rFonts w:ascii="Times New Roman"/>
          <w:b w:val="false"/>
          <w:i w:val="false"/>
          <w:color w:val="000000"/>
          <w:sz w:val="22"/>
          <w:lang w:val="pl-Pl"/>
        </w:rPr>
        <w:t xml:space="preserve"> Od decyzji Prezesa Zarządu Funduszu, o której mowa w art. 49e ust. 1, dotyczącej zwrotu otrzymanych przez gminę środków, o których mowa w ust. 2b, przysługuje wniosek o ponowne rozpatrzenie sprawy do Prezesa Zarządu Funduszu.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Darowizna dokonywana ze środków Funduszu na rzecz osoby niepełnosprawnej w celach wynikających z ustawy nie podlega opodatkowaniu podatkiem od spadków i darowizn.</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Minister właściwy do spraw zabezpieczenia społecznego, w porozumieniu z ministrem właściwym do spraw finansów publicznych, po zasięgnięciu opinii Komisji Wspólnej Rządu i Samorządu Terytorialnego, określi, w drodze rozporządzenia, szczegółowe zasady obliczania i tryb przekazywania gminom dotacji celowej, o której mowa w ust. 2, z uwzględnieniem wniosków gmin, zawierających dane o rocznych skutkach zastosowania zwolnień, o których mowa w art. 31 ust. 1 pkt 1, mając na względzie zrekompensowanie gminom utraconych dochodów.</w:t>
      </w:r>
    </w:p>
    <w:p>
      <w:pPr>
        <w:spacing w:before="80" w:after="0"/>
        <w:ind w:left="0"/>
        <w:jc w:val="left"/>
        <w:textAlignment w:val="auto"/>
      </w:pPr>
      <w:r>
        <w:rPr>
          <w:rFonts w:ascii="Times New Roman"/>
          <w:b/>
          <w:i w:val="false"/>
          <w:color w:val="000000"/>
          <w:sz w:val="22"/>
          <w:lang w:val="pl-Pl"/>
        </w:rPr>
        <w:t xml:space="preserve">Art. 48. </w:t>
      </w:r>
      <w:r>
        <w:rPr>
          <w:rFonts w:ascii="Times New Roman"/>
          <w:b/>
          <w:i w:val="false"/>
          <w:color w:val="000000"/>
          <w:sz w:val="22"/>
          <w:lang w:val="pl-Pl"/>
        </w:rPr>
        <w:t xml:space="preserve"> [Przekazywanie środków PFRON]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Środki Funduszu są przekazywane przez Prezesa Zarządu tego Funduszu:</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samorządom wojewódzkim i powiatowym na realizację określonych zadań lub rodzajów zadań, na wyodrębniony rachunek bankowy - według algorytmu;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podmiotom realizującym zadania zlecone przez Fundusz lub inne zadania wynikające z ustawy - na podstawie zawartych z nimi umów.</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Rada Ministrów określa, w drodze rozporządzenia, algorytm, o którym mowa w ust. 1, a także zasady ustalania maksymalnych wysokości kwot zobowiązań przypadających do wypłaty na dany rok. Projekt algorytmu podlega opiniowaniu przez stronę samorządową Komisji Wspólnej Rządu i Samorządu Terytorialnego.</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Algorytm, o którym mowa w ust. 1, powinien uwzględniać w szczególności liczbę mieszkańców, liczbę osób niepełnosprawnych i liczbę uczestników funkcjonujących warsztatów terapii zajęciowej w powiecie oraz kwotę przewidzianą w planie finansowym Funduszu na dany rok na realizację przez samorządy zadań, kwotę zobowiązań finansowanych ze środków Funduszu z tytułu realizacji umów zawartych do dnia 31 grudnia roku poprzedzającego rok, dla którego jest obliczana wysokość środków.</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vertAlign w:val="superscript"/>
          <w:lang w:val="pl-Pl"/>
        </w:rPr>
        <w:t>43</w:t>
      </w:r>
      <w:r>
        <w:rPr>
          <w:rFonts w:ascii="Times New Roman"/>
          <w:b w:val="false"/>
          <w:i w:val="false"/>
          <w:color w:val="000000"/>
          <w:sz w:val="22"/>
          <w:lang w:val="pl-Pl"/>
        </w:rPr>
        <w:t xml:space="preserve"> </w:t>
      </w:r>
      <w:r>
        <w:rPr>
          <w:rFonts w:ascii="Times New Roman"/>
          <w:b w:val="false"/>
          <w:i w:val="false"/>
          <w:color w:val="000000"/>
          <w:sz w:val="22"/>
          <w:lang w:val="pl-Pl"/>
        </w:rPr>
        <w:t xml:space="preserve"> Od decyzji Prezesa Zarządu Funduszu, o której mowa w art. 49e ust. 1, dotyczącej środków Funduszu przekazywanych podmiotom, o których mowa w ust. 1, przysługuje wniosek o ponowne rozpatrzenie sprawy do Prezesa Zarządu Funduszu.</w:t>
      </w:r>
    </w:p>
    <w:p>
      <w:pPr>
        <w:spacing w:before="80" w:after="0"/>
        <w:ind w:left="0"/>
        <w:jc w:val="left"/>
        <w:textAlignment w:val="auto"/>
      </w:pPr>
      <w:r>
        <w:rPr>
          <w:rFonts w:ascii="Times New Roman"/>
          <w:b/>
          <w:i w:val="false"/>
          <w:color w:val="000000"/>
          <w:sz w:val="22"/>
          <w:lang w:val="pl-Pl"/>
        </w:rPr>
        <w:t>Art. 48</w:t>
      </w:r>
      <w:r>
        <w:rPr>
          <w:rFonts w:ascii="Times New Roman"/>
          <w:b/>
          <w:i w:val="false"/>
          <w:color w:val="000000"/>
          <w:sz w:val="22"/>
          <w:vertAlign w:val="superscript"/>
          <w:lang w:val="pl-Pl"/>
        </w:rPr>
        <w:t>1</w:t>
      </w:r>
      <w:r>
        <w:rPr>
          <w:rFonts w:ascii="Times New Roman"/>
          <w:b/>
          <w:i w:val="false"/>
          <w:color w:val="000000"/>
          <w:sz w:val="22"/>
          <w:lang w:val="pl-Pl"/>
        </w:rPr>
        <w:t xml:space="preserve">. </w:t>
      </w:r>
      <w:r>
        <w:rPr>
          <w:rFonts w:ascii="Times New Roman"/>
          <w:b/>
          <w:i w:val="false"/>
          <w:color w:val="000000"/>
          <w:sz w:val="22"/>
          <w:vertAlign w:val="superscript"/>
          <w:lang w:val="pl-Pl"/>
        </w:rPr>
        <w:t>44</w:t>
      </w:r>
      <w:r>
        <w:rPr>
          <w:rFonts w:ascii="Times New Roman"/>
          <w:b/>
          <w:i w:val="false"/>
          <w:color w:val="000000"/>
          <w:sz w:val="22"/>
          <w:lang w:val="pl-Pl"/>
        </w:rPr>
        <w:t xml:space="preserve"> </w:t>
      </w:r>
      <w:r>
        <w:rPr>
          <w:rFonts w:ascii="Times New Roman"/>
          <w:b/>
          <w:i w:val="false"/>
          <w:color w:val="000000"/>
          <w:sz w:val="22"/>
          <w:lang w:val="pl-Pl"/>
        </w:rPr>
        <w:t xml:space="preserve"> [Finansowanie zadań samorządu województwa i samorządu powiatu ze środków Solidarnościowego Funduszu Wsparcia Osób Niepełnosprawnych]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 Samorządy wojewódzkie i powiatowe mogą otrzymać środki z Solidarnościowego Funduszu Wsparcia Osób Niepełnosprawnych, na zasadach określonych w </w:t>
      </w:r>
      <w:r>
        <w:rPr>
          <w:rFonts w:ascii="Times New Roman"/>
          <w:b w:val="false"/>
          <w:i w:val="false"/>
          <w:color w:val="1b1b1b"/>
          <w:sz w:val="22"/>
          <w:lang w:val="pl-Pl"/>
        </w:rPr>
        <w:t>ustawie</w:t>
      </w:r>
      <w:r>
        <w:rPr>
          <w:rFonts w:ascii="Times New Roman"/>
          <w:b w:val="false"/>
          <w:i w:val="false"/>
          <w:color w:val="000000"/>
          <w:sz w:val="22"/>
          <w:lang w:val="pl-Pl"/>
        </w:rPr>
        <w:t xml:space="preserve"> z dnia 23 października 2018 r. o Solidarnościowym Funduszu Wsparcia Osób Niepełnosprawnych (Dz. U. poz. 2192), na finansowanie zadań, o których mowa w art. 35 i art. 35a.</w:t>
      </w:r>
    </w:p>
    <w:p>
      <w:pPr>
        <w:spacing w:before="80" w:after="0"/>
        <w:ind w:left="0"/>
        <w:jc w:val="left"/>
        <w:textAlignment w:val="auto"/>
      </w:pPr>
      <w:r>
        <w:rPr>
          <w:rFonts w:ascii="Times New Roman"/>
          <w:b/>
          <w:i w:val="false"/>
          <w:color w:val="000000"/>
          <w:sz w:val="22"/>
          <w:lang w:val="pl-Pl"/>
        </w:rPr>
        <w:t xml:space="preserve">Art. 48a. </w:t>
      </w:r>
      <w:r>
        <w:rPr>
          <w:rFonts w:ascii="Times New Roman"/>
          <w:b/>
          <w:i w:val="false"/>
          <w:color w:val="000000"/>
          <w:sz w:val="22"/>
          <w:lang w:val="pl-Pl"/>
        </w:rPr>
        <w:t xml:space="preserve"> [Ograniczenie przeznaczenia środków PFRON]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Środki Funduszu nie mogą zostać przeznaczone na realizację celów, zadań i wydatków w części w jakiej zostały sfinansowane w ramach pomocy udzielonej z innych środków publicznych.</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Środki Funduszu przyznane pracodawcy wykonującemu działalność gospodarczą na podstawie art. 26, art. 26a, art. 26d i art. 32 ust. 1 pkt 2 stanowią pomoc na zatrudnienie pracowników niepełnosprawnych w rozumieniu </w:t>
      </w:r>
      <w:r>
        <w:rPr>
          <w:rFonts w:ascii="Times New Roman"/>
          <w:b w:val="false"/>
          <w:i w:val="false"/>
          <w:color w:val="1b1b1b"/>
          <w:sz w:val="22"/>
          <w:lang w:val="pl-Pl"/>
        </w:rPr>
        <w:t>rozporządzenia</w:t>
      </w:r>
      <w:r>
        <w:rPr>
          <w:rFonts w:ascii="Times New Roman"/>
          <w:b w:val="false"/>
          <w:i w:val="false"/>
          <w:color w:val="000000"/>
          <w:sz w:val="22"/>
          <w:lang w:val="pl-Pl"/>
        </w:rPr>
        <w:t xml:space="preserve"> Komisji (UE) nr 651/2014 z dnia 17 czerwca 2014 r. uznającego niektóre rodzaje pomocy za zgodne z rynkiem wewnętrznym w zastosowaniu art. 107 i 108 Traktatu (Dz. Urz. UE L 187 z 26.06.2014, str. 1).</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Pomoc ze środków Funduszu nie może zostać udzielona lub wypłacona pracodawcy wykonującemu działalność gospodarczą:</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znajdującemu się w trudnej sytuacji ekonomicznej według kryteriów określonych w przepisach prawa Unii Europejskiej dotyczących udzielania pomocy publicznej;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na którym ciąży obowiązek zwrotu pomocy, wynikający z wcześniejszych decyzji Komisji Europejskiej, uznających pomoc za niezgodną z prawem oraz ze wspólnym rynkiem;</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jeżeli udzielenie pomocy w formie miesięcznego dofinansowania do wynagrodzenia skutkowałoby przekroczeniem kwoty 10 mln euro rocznej pomocy na zatrudnienie pracowników niepełnosprawnych u tego pracodawcy.</w:t>
      </w:r>
    </w:p>
    <w:p>
      <w:pPr>
        <w:spacing w:before="80" w:after="0"/>
        <w:ind w:left="0"/>
        <w:jc w:val="left"/>
        <w:textAlignment w:val="auto"/>
      </w:pPr>
      <w:r>
        <w:rPr>
          <w:rFonts w:ascii="Times New Roman"/>
          <w:b/>
          <w:i w:val="false"/>
          <w:color w:val="000000"/>
          <w:sz w:val="22"/>
          <w:lang w:val="pl-Pl"/>
        </w:rPr>
        <w:t xml:space="preserve">Art. 49. </w:t>
      </w:r>
      <w:r>
        <w:rPr>
          <w:rFonts w:ascii="Times New Roman"/>
          <w:b/>
          <w:i w:val="false"/>
          <w:color w:val="000000"/>
          <w:sz w:val="22"/>
          <w:lang w:val="pl-Pl"/>
        </w:rPr>
        <w:t xml:space="preserve"> [Wpłaty na PFRON]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 wpłat, o których mowa w art. 21 ust. 1, art. 22b, art. 23, art. 29 ust. 3a</w:t>
      </w:r>
      <w:r>
        <w:rPr>
          <w:rFonts w:ascii="Times New Roman"/>
          <w:b w:val="false"/>
          <w:i w:val="false"/>
          <w:color w:val="000000"/>
          <w:sz w:val="22"/>
          <w:vertAlign w:val="superscript"/>
          <w:lang w:val="pl-Pl"/>
        </w:rPr>
        <w:t>1</w:t>
      </w:r>
      <w:r>
        <w:rPr>
          <w:rFonts w:ascii="Times New Roman"/>
          <w:b w:val="false"/>
          <w:i w:val="false"/>
          <w:color w:val="000000"/>
          <w:sz w:val="22"/>
          <w:lang w:val="pl-Pl"/>
        </w:rPr>
        <w:t>, 3b, 3c i 3g, art. 31 ust. 3 pkt 1 lit. a, art. 33 ust. 4a, 4a</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4c, 7 i 7a, oraz </w:t>
      </w:r>
      <w:r>
        <w:rPr>
          <w:rFonts w:ascii="Times New Roman"/>
          <w:b w:val="false"/>
          <w:i w:val="false"/>
          <w:color w:val="1b1b1b"/>
          <w:sz w:val="22"/>
          <w:lang w:val="pl-Pl"/>
        </w:rPr>
        <w:t>art. 38 ust. 2 pkt 1 lit. a</w:t>
      </w:r>
      <w:r>
        <w:rPr>
          <w:rFonts w:ascii="Times New Roman"/>
          <w:b w:val="false"/>
          <w:i w:val="false"/>
          <w:color w:val="000000"/>
          <w:sz w:val="22"/>
          <w:lang w:val="pl-Pl"/>
        </w:rPr>
        <w:t xml:space="preserve"> tiret pierwsze ustawy z dnia 26 lipca 1991 r. o podatku dochodowym od osób fizycznych (Dz. U. z 2018 r. poz. 200, z 2017 r. poz. 2494 oraz z 2018 r. poz. 106 i 138) stosuje się odpowiednio, z zastrzeżeniem ust. 5a-5d oraz art. 49a i art. 49b, przepisy </w:t>
      </w:r>
      <w:r>
        <w:rPr>
          <w:rFonts w:ascii="Times New Roman"/>
          <w:b w:val="false"/>
          <w:i w:val="false"/>
          <w:color w:val="1b1b1b"/>
          <w:sz w:val="22"/>
          <w:lang w:val="pl-Pl"/>
        </w:rPr>
        <w:t>Ordynacji podatkowej</w:t>
      </w:r>
      <w:r>
        <w:rPr>
          <w:rFonts w:ascii="Times New Roman"/>
          <w:b w:val="false"/>
          <w:i w:val="false"/>
          <w:color w:val="000000"/>
          <w:sz w:val="22"/>
          <w:lang w:val="pl-Pl"/>
        </w:rPr>
        <w:t>, z tym że uprawnienia organów podatkowych określone w tej ustawie przysługują Prezesowi Zarządu Funduszu.</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Pracodawcy dokonują wpłat, o których mowa w ust. 1, w terminie do dnia 20 następnego miesiąca po miesiącu, w którym zaistniały okoliczności powodujące powstanie obowiązku wpłat, składając równocześnie Zarządowi Funduszu deklaracje miesięczne i roczne poprzez teletransmisje danych w formie dokumentu elektronicznego według wzoru ustalonego, w drodze rozporządzenia, przez ministra właściwego do spraw zabezpieczenia społecznego.</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 egzekucji wpłat, o których mowa w ust. 1, stosuje się przepisy o postępowaniu egzekucyjnym w administracji, z tym że tytuł wykonawczy wystawia Prezes Zarządu Funduszu.</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Od decyzji Prezesa Zarządu Funduszu dotyczących wpłat, o których mowa w ust. 1, pracodawcy przysługuje odwołanie do ministra właściwego do spraw zabezpieczenia społecznego.</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5a. </w:t>
      </w:r>
      <w:r>
        <w:rPr>
          <w:rFonts w:ascii="Times New Roman"/>
          <w:b w:val="false"/>
          <w:i w:val="false"/>
          <w:color w:val="000000"/>
          <w:sz w:val="22"/>
          <w:lang w:val="pl-Pl"/>
        </w:rPr>
        <w:t>Zaległości z tytułu wpłat, odsetki za zwłokę lub opłata prolongacyjna mogą być umarzane w całości lub w części decyzją Prezesa Zarządu Funduszu wyłącznie w przypadku ich całkowitej nieściągalności.</w:t>
      </w:r>
    </w:p>
    <w:p>
      <w:pPr>
        <w:spacing w:before="26" w:after="0"/>
        <w:ind w:left="0"/>
        <w:jc w:val="left"/>
        <w:textAlignment w:val="auto"/>
      </w:pPr>
      <w:r>
        <w:rPr>
          <w:rFonts w:ascii="Times New Roman"/>
          <w:b w:val="false"/>
          <w:i w:val="false"/>
          <w:color w:val="000000"/>
          <w:sz w:val="22"/>
          <w:lang w:val="pl-Pl"/>
        </w:rPr>
        <w:t xml:space="preserve">5b. </w:t>
      </w:r>
      <w:r>
        <w:rPr>
          <w:rFonts w:ascii="Times New Roman"/>
          <w:b w:val="false"/>
          <w:i w:val="false"/>
          <w:color w:val="000000"/>
          <w:sz w:val="22"/>
          <w:lang w:val="pl-Pl"/>
        </w:rPr>
        <w:t xml:space="preserve">Całkowita nieściągalność, o której mowa w ust. 5a, zachodzi w przypadkach określonych w </w:t>
      </w:r>
      <w:r>
        <w:rPr>
          <w:rFonts w:ascii="Times New Roman"/>
          <w:b w:val="false"/>
          <w:i w:val="false"/>
          <w:color w:val="1b1b1b"/>
          <w:sz w:val="22"/>
          <w:lang w:val="pl-Pl"/>
        </w:rPr>
        <w:t>art. 67d</w:t>
      </w:r>
      <w:r>
        <w:rPr>
          <w:rFonts w:ascii="Times New Roman"/>
          <w:b w:val="false"/>
          <w:i w:val="false"/>
          <w:color w:val="000000"/>
          <w:sz w:val="22"/>
          <w:lang w:val="pl-Pl"/>
        </w:rPr>
        <w:t xml:space="preserve"> Ordynacji podatkowej.</w:t>
      </w:r>
    </w:p>
    <w:p>
      <w:pPr>
        <w:spacing w:before="26" w:after="0"/>
        <w:ind w:left="0"/>
        <w:jc w:val="left"/>
        <w:textAlignment w:val="auto"/>
      </w:pPr>
      <w:r>
        <w:rPr>
          <w:rFonts w:ascii="Times New Roman"/>
          <w:b w:val="false"/>
          <w:i w:val="false"/>
          <w:color w:val="000000"/>
          <w:sz w:val="22"/>
          <w:lang w:val="pl-Pl"/>
        </w:rPr>
        <w:t xml:space="preserve">5c. </w:t>
      </w:r>
      <w:r>
        <w:rPr>
          <w:rFonts w:ascii="Times New Roman"/>
          <w:b w:val="false"/>
          <w:i w:val="false"/>
          <w:color w:val="000000"/>
          <w:sz w:val="22"/>
          <w:lang w:val="pl-Pl"/>
        </w:rPr>
        <w:t>Prezes Zarządu Funduszu, w drodze decyzji, na wniosek pracodawcy, w przypadku uzasadnionym ważnym interesem pracodawcy lub interesem publicznym może: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odroczyć termin płatności należności lub rozłożyć ich zapłatę na raty,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odroczyć termin płatności zaległości z tytułu wpłat, odsetek za zwłokę lub rozłożyć ich zapłatę na raty</w:t>
      </w:r>
    </w:p>
    <w:p>
      <w:pPr>
        <w:spacing w:before="25" w:after="0"/>
        <w:ind w:left="0"/>
        <w:jc w:val="both"/>
        <w:textAlignment w:val="auto"/>
      </w:pPr>
      <w:r>
        <w:rPr>
          <w:rFonts w:ascii="Times New Roman"/>
          <w:b w:val="false"/>
          <w:i w:val="false"/>
          <w:color w:val="000000"/>
          <w:sz w:val="22"/>
          <w:lang w:val="pl-Pl"/>
        </w:rPr>
        <w:t>- uwzględniając możliwości płatnicze pracodawcy oraz stan finansów Funduszu.</w:t>
      </w:r>
    </w:p>
    <w:p>
      <w:pPr>
        <w:spacing w:before="26" w:after="0"/>
        <w:ind w:left="0"/>
        <w:jc w:val="left"/>
        <w:textAlignment w:val="auto"/>
      </w:pPr>
      <w:r>
        <w:rPr>
          <w:rFonts w:ascii="Times New Roman"/>
          <w:b w:val="false"/>
          <w:i w:val="false"/>
          <w:color w:val="000000"/>
          <w:sz w:val="22"/>
          <w:lang w:val="pl-Pl"/>
        </w:rPr>
        <w:t xml:space="preserve">5d. </w:t>
      </w:r>
      <w:r>
        <w:rPr>
          <w:rFonts w:ascii="Times New Roman"/>
          <w:b w:val="false"/>
          <w:i w:val="false"/>
          <w:color w:val="000000"/>
          <w:sz w:val="22"/>
          <w:lang w:val="pl-Pl"/>
        </w:rPr>
        <w:t xml:space="preserve">W przypadku wydania decyzji, o której mowa w ust. 5c, naliczana jest opłata prolongacyjna, na zasadach określonych w </w:t>
      </w:r>
      <w:r>
        <w:rPr>
          <w:rFonts w:ascii="Times New Roman"/>
          <w:b w:val="false"/>
          <w:i w:val="false"/>
          <w:color w:val="1b1b1b"/>
          <w:sz w:val="22"/>
          <w:lang w:val="pl-Pl"/>
        </w:rPr>
        <w:t>Ordynacji podatkowej</w:t>
      </w:r>
      <w:r>
        <w:rPr>
          <w:rFonts w:ascii="Times New Roman"/>
          <w:b w:val="false"/>
          <w:i w:val="false"/>
          <w:color w:val="000000"/>
          <w:sz w:val="22"/>
          <w:lang w:val="pl-Pl"/>
        </w:rPr>
        <w:t>.</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Minister właściwy do spraw zabezpieczenia społecznego, w porozumieniu z ministrem właściwym do spraw łączności, może, w drodze rozporządzenia, określić wzór formularza wpłaty gotówkowej oraz polecenia przelewu, mając na względzie ustalenie tożsamości wpłacającego oraz tytuł zobowiązania.</w:t>
      </w:r>
    </w:p>
    <w:p>
      <w:pPr>
        <w:spacing w:before="80" w:after="0"/>
        <w:ind w:left="0"/>
        <w:jc w:val="left"/>
        <w:textAlignment w:val="auto"/>
      </w:pPr>
      <w:r>
        <w:rPr>
          <w:rFonts w:ascii="Times New Roman"/>
          <w:b/>
          <w:i w:val="false"/>
          <w:color w:val="000000"/>
          <w:sz w:val="22"/>
          <w:lang w:val="pl-Pl"/>
        </w:rPr>
        <w:t xml:space="preserve">Art. 49a. </w:t>
      </w:r>
      <w:r>
        <w:rPr>
          <w:rFonts w:ascii="Times New Roman"/>
          <w:b/>
          <w:i w:val="false"/>
          <w:color w:val="000000"/>
          <w:sz w:val="22"/>
          <w:lang w:val="pl-Pl"/>
        </w:rPr>
        <w:t xml:space="preserve"> [Księgi wieczyste i hipoteka przymusowa]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Prezes Zarządu Funduszu ma prawo występowania z wnioskiem o założenie księgi wieczystej dla nieruchomości dłużnika zalegającego z opłatą z tytułu wpłat, o których mowa w art. 49 ust. 1.</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Wystawione przez Prezesa Zarządu Funduszu dokumenty stwierdzające istnienie należności z tytułu wpłat, o których mowa w art. 49 ust. 1, oraz ich wysokość są podstawą wpisu hipoteki do księgi wieczystej nieruchomości stanowiącej własność zobowiązanego. Jeżeli nieruchomość nie posiada księgi wieczystej, zabezpieczenie jest dokonywane przez złożenie tych dokumentów do zbioru dokumentów.</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Należności z tytułu wpłat, o których mowa w art. 49 ust. 1, są zabezpieczane hipoteką przymusową na wszystkich nieruchomościach dłużnika. Podstawą ustanowienia hipoteki jest doręczona decyzja określająca wysokość należności z tytułu wpłat, o których mowa w art. 49 ust. 1.</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 xml:space="preserve">Do hipoteki, o której mowa w ust. 3, stosuje się odpowiednio przepisy </w:t>
      </w:r>
      <w:r>
        <w:rPr>
          <w:rFonts w:ascii="Times New Roman"/>
          <w:b w:val="false"/>
          <w:i w:val="false"/>
          <w:color w:val="1b1b1b"/>
          <w:sz w:val="22"/>
          <w:lang w:val="pl-Pl"/>
        </w:rPr>
        <w:t>Ordynacji podatkowej</w:t>
      </w:r>
      <w:r>
        <w:rPr>
          <w:rFonts w:ascii="Times New Roman"/>
          <w:b w:val="false"/>
          <w:i w:val="false"/>
          <w:color w:val="000000"/>
          <w:sz w:val="22"/>
          <w:lang w:val="pl-Pl"/>
        </w:rPr>
        <w:t xml:space="preserve"> dotyczące hipoteki przymusowej.</w:t>
      </w:r>
    </w:p>
    <w:p>
      <w:pPr>
        <w:spacing w:before="80" w:after="0"/>
        <w:ind w:left="0"/>
        <w:jc w:val="left"/>
        <w:textAlignment w:val="auto"/>
      </w:pPr>
      <w:r>
        <w:rPr>
          <w:rFonts w:ascii="Times New Roman"/>
          <w:b/>
          <w:i w:val="false"/>
          <w:color w:val="000000"/>
          <w:sz w:val="22"/>
          <w:lang w:val="pl-Pl"/>
        </w:rPr>
        <w:t xml:space="preserve">Art. 49b. </w:t>
      </w:r>
      <w:r>
        <w:rPr>
          <w:rFonts w:ascii="Times New Roman"/>
          <w:b/>
          <w:i w:val="false"/>
          <w:color w:val="000000"/>
          <w:sz w:val="22"/>
          <w:lang w:val="pl-Pl"/>
        </w:rPr>
        <w:t xml:space="preserve"> [Zastaw ustawowy]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Należności z tytułu wpłat, o których mowa w art. 49 ust. 1, są zabezpieczane ustawowym prawem zastawu na ruchomościach i prawach zbywalnych dłużnika.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Do zastawu, o którym mowa w ust. 1, stosuje się odpowiednio przepisy </w:t>
      </w:r>
      <w:r>
        <w:rPr>
          <w:rFonts w:ascii="Times New Roman"/>
          <w:b w:val="false"/>
          <w:i w:val="false"/>
          <w:color w:val="1b1b1b"/>
          <w:sz w:val="22"/>
          <w:lang w:val="pl-Pl"/>
        </w:rPr>
        <w:t>Ordynacji podatkowej</w:t>
      </w:r>
      <w:r>
        <w:rPr>
          <w:rFonts w:ascii="Times New Roman"/>
          <w:b w:val="false"/>
          <w:i w:val="false"/>
          <w:color w:val="000000"/>
          <w:sz w:val="22"/>
          <w:lang w:val="pl-Pl"/>
        </w:rPr>
        <w:t xml:space="preserve"> dotyczące zastawów skarbowych.</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Zastaw, o którym mowa w ust. 1, wpisuje się do Rejestru Zastawów Skarbowych prowadzonego na podstawie </w:t>
      </w:r>
      <w:r>
        <w:rPr>
          <w:rFonts w:ascii="Times New Roman"/>
          <w:b w:val="false"/>
          <w:i w:val="false"/>
          <w:color w:val="1b1b1b"/>
          <w:sz w:val="22"/>
          <w:lang w:val="pl-Pl"/>
        </w:rPr>
        <w:t>art. 43</w:t>
      </w:r>
      <w:r>
        <w:rPr>
          <w:rFonts w:ascii="Times New Roman"/>
          <w:b w:val="false"/>
          <w:i w:val="false"/>
          <w:color w:val="000000"/>
          <w:sz w:val="22"/>
          <w:lang w:val="pl-Pl"/>
        </w:rPr>
        <w:t xml:space="preserve"> Ordynacji podatkowej.</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 xml:space="preserve">Prezes Zarządu Funduszu wydaje decyzję w sprawie wykreślenia zastawu, o którym mowa w ust. 1, z Rejestru Zastawów Skarbowych, zgodnie z </w:t>
      </w:r>
      <w:r>
        <w:rPr>
          <w:rFonts w:ascii="Times New Roman"/>
          <w:b w:val="false"/>
          <w:i w:val="false"/>
          <w:color w:val="1b1b1b"/>
          <w:sz w:val="22"/>
          <w:lang w:val="pl-Pl"/>
        </w:rPr>
        <w:t>art. 46h § 1</w:t>
      </w:r>
      <w:r>
        <w:rPr>
          <w:rFonts w:ascii="Times New Roman"/>
          <w:b w:val="false"/>
          <w:i w:val="false"/>
          <w:color w:val="000000"/>
          <w:sz w:val="22"/>
          <w:lang w:val="pl-Pl"/>
        </w:rPr>
        <w:t xml:space="preserve"> Ordynacji podatkowej.</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Od decyzji Prezesa Funduszu, o której mowa w ust. 5, przysługuje odwołanie do ministra właściwego do spraw zabezpieczenia społecznego.</w:t>
      </w:r>
    </w:p>
    <w:p>
      <w:pPr>
        <w:spacing w:before="80" w:after="0"/>
        <w:ind w:left="0"/>
        <w:jc w:val="left"/>
        <w:textAlignment w:val="auto"/>
      </w:pPr>
      <w:r>
        <w:rPr>
          <w:rFonts w:ascii="Times New Roman"/>
          <w:b/>
          <w:i w:val="false"/>
          <w:color w:val="000000"/>
          <w:sz w:val="22"/>
          <w:lang w:val="pl-Pl"/>
        </w:rPr>
        <w:t xml:space="preserve">Art. 49c. </w:t>
      </w:r>
      <w:r>
        <w:rPr>
          <w:rFonts w:ascii="Times New Roman"/>
          <w:b/>
          <w:i w:val="false"/>
          <w:color w:val="000000"/>
          <w:sz w:val="22"/>
          <w:lang w:val="pl-Pl"/>
        </w:rPr>
        <w:t xml:space="preserve"> [Dostęp do rejestrów i ewidencji]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Fundusz jest uprawniony do nieodpłatnego korzystania z danych zgromadzonych:</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Centralnym Rejestrze Podmiotów - Krajowej Ewidencji Podatników;</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krajowym rejestrze urzędowym podmiotów gospodarki narodowej (REGON) prowadzonym przez Prezesa Głównego Urzędu Statystycznego;</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przez Zakład Ubezpieczeń Społecznych;</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Centralnej Bazie RCIPESEL.</w:t>
      </w:r>
    </w:p>
    <w:p>
      <w:pPr>
        <w:spacing w:before="80" w:after="0"/>
        <w:ind w:left="0"/>
        <w:jc w:val="left"/>
        <w:textAlignment w:val="auto"/>
      </w:pPr>
      <w:r>
        <w:rPr>
          <w:rFonts w:ascii="Times New Roman"/>
          <w:b/>
          <w:i w:val="false"/>
          <w:color w:val="000000"/>
          <w:sz w:val="22"/>
          <w:lang w:val="pl-Pl"/>
        </w:rPr>
        <w:t xml:space="preserve">Art. 49d. </w:t>
      </w:r>
      <w:r>
        <w:rPr>
          <w:rFonts w:ascii="Times New Roman"/>
          <w:b/>
          <w:i w:val="false"/>
          <w:color w:val="000000"/>
          <w:sz w:val="22"/>
          <w:lang w:val="pl-Pl"/>
        </w:rPr>
        <w:t xml:space="preserve"> [Obowiązki informacyjne Prezesa PFRON]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Prezes Zarządu Funduszu jest obowiązany składać Pełnomocnikowi półroczne informacje o pracodawcach zwolnionych z wpłat na Fundusz lub zobowiązanych do tych wpłat, w terminach:</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 dnia 15 sierpnia - za pierwsze półrocze;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 dnia 15 lutego - za drugie półrocze roku poprzedniego.</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Prezes Zarządu Funduszu jest obowiązany udzielać, na wniosek Pełnomocnika, informacji o pracodawcach obowiązanych do składania informacji, o których mowa w art. 21 ust. 2f, lub deklaracji, o których mowa w art. 49 ust. 2, w zakresie i terminie wskazanym we wniosku. Termin ten nie może być krótszy niż 30 dni od dnia doręczenia wniosku.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Minister właściwy do spraw zabezpieczenia społecznego określi, w drodze rozporządzenia, wzory informacji, o których mowa w ust. 1, oraz sposób ich przekazywania, mając na względzie zapewnienie prawidłowego przepływu informacji.</w:t>
      </w:r>
    </w:p>
    <w:p>
      <w:pPr>
        <w:spacing w:before="80" w:after="0"/>
        <w:ind w:left="0"/>
        <w:jc w:val="left"/>
        <w:textAlignment w:val="auto"/>
      </w:pPr>
      <w:r>
        <w:rPr>
          <w:rFonts w:ascii="Times New Roman"/>
          <w:b/>
          <w:i w:val="false"/>
          <w:color w:val="000000"/>
          <w:sz w:val="22"/>
          <w:lang w:val="pl-Pl"/>
        </w:rPr>
        <w:t xml:space="preserve">Art. 49e. </w:t>
      </w:r>
      <w:r>
        <w:rPr>
          <w:rFonts w:ascii="Times New Roman"/>
          <w:b/>
          <w:i w:val="false"/>
          <w:color w:val="000000"/>
          <w:sz w:val="22"/>
          <w:lang w:val="pl-Pl"/>
        </w:rPr>
        <w:t xml:space="preserve"> [Zwrot środków PFRON]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Środki Funduszu podlegają zwrotowi w kwocie wykorzystanej niezgodnie z przeznaczeniem, pobranej w nadmiernej wysokości lub ustalonej w wyniku kontroli w zakresie stwierdzonych nieprawidłowości, określonej w drodze decyzji nakazującej zwrot wypłaconych środków wraz z odsetkami naliczonymi od tej kwoty, od dnia jej otrzymania, w wysokości określonej jak dla zaległości podatkowych.</w:t>
      </w: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vertAlign w:val="superscript"/>
          <w:lang w:val="pl-Pl"/>
        </w:rPr>
        <w:t>45</w:t>
      </w:r>
      <w:r>
        <w:rPr>
          <w:rFonts w:ascii="Times New Roman"/>
          <w:b w:val="false"/>
          <w:i w:val="false"/>
          <w:color w:val="000000"/>
          <w:sz w:val="22"/>
          <w:lang w:val="pl-Pl"/>
        </w:rPr>
        <w:t xml:space="preserve"> </w:t>
      </w:r>
      <w:r>
        <w:rPr>
          <w:rFonts w:ascii="Times New Roman"/>
          <w:b w:val="false"/>
          <w:i w:val="false"/>
          <w:color w:val="000000"/>
          <w:sz w:val="22"/>
          <w:lang w:val="pl-Pl"/>
        </w:rPr>
        <w:t xml:space="preserve"> Od decyzji Prezesa Zarządu Funduszu, o której mowa w ust. 1, przysługuje wniosek o ponowne rozpatrzenie sprawy do Prezesa Zarządu Funduszu.</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Zwrotu, o którym mowa w ust. 1, dokonuje się w terminie 3 miesięcy od dnia otrzymania wezwania do zapłaty lub ujawnienia okoliczności powodujących obowiązek zwrotu.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Jeżeli środki Funduszu zostały wypłacone w wysokości niższej od należnej, kwotę stanowiącą różnicę między kwotą należną a kwotą wypłaconą, wypłaca się wraz z odsetkami w wysokości określonej jak dla zaległości podatkowych w terminie 3 miesięcy od dnia przedłożenia żądania wypłaty tej kwoty lub ujawnienia okoliczności powodujących obowiązek jej wypłacenia.</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Odsetek nie nalicza się w przypadku gdy wystąpienie okoliczności powodujących obowiązek zwrotu lub wypłaty środków było niezależne od zobowiązanego do zapłaty.</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Zwrotowi nie podlegają należności umorzone w trybie, o którym mowa w art. 49f ust. 1 pkt 1, chyba że w wyniku kontroli stwierdzono niezgodne z prawem ich umorzenie.</w:t>
      </w:r>
    </w:p>
    <w:p>
      <w:pPr>
        <w:spacing w:before="80" w:after="0"/>
        <w:ind w:left="0"/>
        <w:jc w:val="left"/>
        <w:textAlignment w:val="auto"/>
      </w:pPr>
      <w:r>
        <w:rPr>
          <w:rFonts w:ascii="Times New Roman"/>
          <w:b/>
          <w:i w:val="false"/>
          <w:color w:val="000000"/>
          <w:sz w:val="22"/>
          <w:lang w:val="pl-Pl"/>
        </w:rPr>
        <w:t xml:space="preserve">Art. 49f. </w:t>
      </w:r>
      <w:r>
        <w:rPr>
          <w:rFonts w:ascii="Times New Roman"/>
          <w:b/>
          <w:i w:val="false"/>
          <w:color w:val="000000"/>
          <w:sz w:val="22"/>
          <w:lang w:val="pl-Pl"/>
        </w:rPr>
        <w:t xml:space="preserve"> [Umorzenie lub rozłożenie na raty należności]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 wniosek dłużnika lub strony umowy, której przedmiot obejmuje dokonanie wydatków ze środków Funduszu, organy i podmioty powołane do zawierania takich umów mogą:</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umorzyć w części lub w całości należności pieniężne mające charakter cywilnoprawny, w drodze decyzji, z zastrzeżeniem ust. 2 i 3, lub</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rozłożyć na raty spłatę tych należności lub odroczyć termin ich płatności, w drodze umowy</w:t>
      </w:r>
    </w:p>
    <w:p>
      <w:pPr>
        <w:spacing w:before="25" w:after="0"/>
        <w:ind w:left="0"/>
        <w:jc w:val="both"/>
        <w:textAlignment w:val="auto"/>
      </w:pPr>
      <w:r>
        <w:rPr>
          <w:rFonts w:ascii="Times New Roman"/>
          <w:b w:val="false"/>
          <w:i w:val="false"/>
          <w:color w:val="000000"/>
          <w:sz w:val="22"/>
          <w:lang w:val="pl-Pl"/>
        </w:rPr>
        <w:t>- w przypadku uzasadnionym ważnym interesem dłużnika, interesem publicznym, względami gospodarczymi lub społecznymi, lub innymi przyczynami zasługującymi na uwzględnienie, w szczególności w razie całkowitej nieściągalności w rozumieniu art. 49 ust. 5b.</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przypadku umarzania należności wynikających z umów określonych w ust. 1, do których zawierania został powołany Fundusz decyzję w sprawie umorzenia wydaje Prezes Zarządu Funduszu.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przypadku umarzania należności wynikających z umów określonych w ust. 1, do których zawierania został powołany dyrektor powiatowego urzędu pracy, lub kierownik jednostki organizacyjnej powiatu, decyzję w sprawie umorzenia wydaje starosta.</w:t>
      </w:r>
    </w:p>
    <w:p>
      <w:pPr>
        <w:spacing w:before="26" w:after="0"/>
        <w:ind w:left="0"/>
        <w:jc w:val="left"/>
        <w:textAlignment w:val="auto"/>
      </w:pPr>
      <w:r>
        <w:rPr>
          <w:rFonts w:ascii="Times New Roman"/>
          <w:b w:val="false"/>
          <w:i w:val="false"/>
          <w:color w:val="000000"/>
          <w:sz w:val="22"/>
          <w:lang w:val="pl-Pl"/>
        </w:rPr>
        <w:t xml:space="preserve">3a. </w:t>
      </w:r>
      <w:r>
        <w:rPr>
          <w:rFonts w:ascii="Times New Roman"/>
          <w:b w:val="false"/>
          <w:i w:val="false"/>
          <w:color w:val="000000"/>
          <w:sz w:val="22"/>
          <w:lang w:val="pl-Pl"/>
        </w:rPr>
        <w:t>Przepisy ust. 1 i 2 stosuje się odpowiednio do należności pieniężnych dotyczących zwrotu środków przyznanych osobie niepełnosprawnej wykonującej działalność gospodarczą lub niepełnosprawnemu rolnikowi lub rolnikowi zobowiązanemu do opłacania składek za niepełnosprawnego domownika na podstawie art. 25a.</w:t>
      </w:r>
    </w:p>
    <w:p>
      <w:pPr>
        <w:spacing w:before="26" w:after="0"/>
        <w:ind w:left="0"/>
        <w:jc w:val="left"/>
        <w:textAlignment w:val="auto"/>
      </w:pPr>
      <w:r>
        <w:rPr>
          <w:rFonts w:ascii="Times New Roman"/>
          <w:b w:val="false"/>
          <w:i w:val="false"/>
          <w:color w:val="000000"/>
          <w:sz w:val="22"/>
          <w:lang w:val="pl-Pl"/>
        </w:rPr>
        <w:t xml:space="preserve">3b. </w:t>
      </w:r>
      <w:r>
        <w:rPr>
          <w:rFonts w:ascii="Times New Roman"/>
          <w:b w:val="false"/>
          <w:i w:val="false"/>
          <w:color w:val="000000"/>
          <w:sz w:val="22"/>
          <w:lang w:val="pl-Pl"/>
        </w:rPr>
        <w:t>Przepis ust. 1 pkt 1 stosuje się odpowiednio do odsetek od nienależnie pobranych kwot na podstawie art. 26a, pod warunkiem spłaty kwoty głównej należności nie później niż w terminie określonym w art. 49e ust. 2.</w:t>
      </w:r>
    </w:p>
    <w:p>
      <w:pPr>
        <w:spacing w:before="26" w:after="0"/>
        <w:ind w:left="0"/>
        <w:jc w:val="left"/>
        <w:textAlignment w:val="auto"/>
      </w:pPr>
      <w:r>
        <w:rPr>
          <w:rFonts w:ascii="Times New Roman"/>
          <w:b w:val="false"/>
          <w:i w:val="false"/>
          <w:color w:val="000000"/>
          <w:sz w:val="22"/>
          <w:lang w:val="pl-Pl"/>
        </w:rPr>
        <w:t xml:space="preserve">3c. </w:t>
      </w:r>
      <w:r>
        <w:rPr>
          <w:rFonts w:ascii="Times New Roman"/>
          <w:b w:val="false"/>
          <w:i w:val="false"/>
          <w:color w:val="000000"/>
          <w:sz w:val="22"/>
          <w:lang w:val="pl-Pl"/>
        </w:rPr>
        <w:t>Przepis ust. 1 pkt 2 stosuje się odpowiednio do należności pieniężnych dotyczących zwrotu dofinansowania do wynagrodzeń pracowników niepełnosprawnych przyznanego na podstawie art. 26a.</w:t>
      </w:r>
    </w:p>
    <w:p>
      <w:pPr>
        <w:spacing w:before="26" w:after="0"/>
        <w:ind w:left="0"/>
        <w:jc w:val="left"/>
        <w:textAlignment w:val="auto"/>
      </w:pPr>
      <w:r>
        <w:rPr>
          <w:rFonts w:ascii="Times New Roman"/>
          <w:b w:val="false"/>
          <w:i w:val="false"/>
          <w:color w:val="000000"/>
          <w:sz w:val="22"/>
          <w:lang w:val="pl-Pl"/>
        </w:rPr>
        <w:t xml:space="preserve">3d. </w:t>
      </w:r>
      <w:r>
        <w:rPr>
          <w:rFonts w:ascii="Times New Roman"/>
          <w:b w:val="false"/>
          <w:i w:val="false"/>
          <w:color w:val="000000"/>
          <w:sz w:val="22"/>
          <w:lang w:val="pl-Pl"/>
        </w:rPr>
        <w:t>Rozłożenie na raty spłaty należności pieniężnych, o których mowa w ust. 3c, lub odroczenie terminu ich płatności może nastąpić jednokrotnie. Całkowity okres spłaty należności nie może być dłuższy niż dziesięć lat od dnia zawarcia umowy, o której mowa w ust. 1 pkt 2.</w:t>
      </w:r>
    </w:p>
    <w:p>
      <w:pPr>
        <w:spacing w:before="26" w:after="0"/>
        <w:ind w:left="0"/>
        <w:jc w:val="left"/>
        <w:textAlignment w:val="auto"/>
      </w:pPr>
      <w:r>
        <w:rPr>
          <w:rFonts w:ascii="Times New Roman"/>
          <w:b w:val="false"/>
          <w:i w:val="false"/>
          <w:color w:val="000000"/>
          <w:sz w:val="22"/>
          <w:lang w:val="pl-Pl"/>
        </w:rPr>
        <w:t xml:space="preserve">3e. </w:t>
      </w:r>
      <w:r>
        <w:rPr>
          <w:rFonts w:ascii="Times New Roman"/>
          <w:b w:val="false"/>
          <w:i w:val="false"/>
          <w:color w:val="000000"/>
          <w:sz w:val="22"/>
          <w:lang w:val="pl-Pl"/>
        </w:rPr>
        <w:t>Od należności pieniężnych, które rozłożono na raty lub odroczono termin ich płatności, nie nalicza się odsetek za zwłokę począwszy od następnego dnia po dniu wpływu wniosku, o którym mowa w ust. 1.</w:t>
      </w:r>
    </w:p>
    <w:p>
      <w:pPr>
        <w:spacing w:before="26" w:after="0"/>
        <w:ind w:left="0"/>
        <w:jc w:val="left"/>
        <w:textAlignment w:val="auto"/>
      </w:pPr>
      <w:r>
        <w:rPr>
          <w:rFonts w:ascii="Times New Roman"/>
          <w:b w:val="false"/>
          <w:i w:val="false"/>
          <w:color w:val="000000"/>
          <w:sz w:val="22"/>
          <w:lang w:val="pl-Pl"/>
        </w:rPr>
        <w:t xml:space="preserve">3f. </w:t>
      </w:r>
      <w:r>
        <w:rPr>
          <w:rFonts w:ascii="Times New Roman"/>
          <w:b w:val="false"/>
          <w:i w:val="false"/>
          <w:color w:val="000000"/>
          <w:sz w:val="22"/>
          <w:lang w:val="pl-Pl"/>
        </w:rPr>
        <w:t>W przypadkach, o których mowa w ust. 1 pkt 2, ustala się opłatę równą sumie 200% podstawowej stopy oprocentowania kredytu lombardowego, ustalanej zgodnie z przepisami o Narodowym Banku Polskim, i 2%, z tym że stawka ta nie może być niższa niż 8% ani od stopy oprocentowania kredytu, który dłużnik mógłby uzyskać na zasadach rynkowych.</w:t>
      </w:r>
    </w:p>
    <w:p>
      <w:pPr>
        <w:spacing w:before="26" w:after="0"/>
        <w:ind w:left="0"/>
        <w:jc w:val="left"/>
        <w:textAlignment w:val="auto"/>
      </w:pPr>
      <w:r>
        <w:rPr>
          <w:rFonts w:ascii="Times New Roman"/>
          <w:b w:val="false"/>
          <w:i w:val="false"/>
          <w:color w:val="000000"/>
          <w:sz w:val="22"/>
          <w:lang w:val="pl-Pl"/>
        </w:rPr>
        <w:t xml:space="preserve">3g. </w:t>
      </w:r>
      <w:r>
        <w:rPr>
          <w:rFonts w:ascii="Times New Roman"/>
          <w:b w:val="false"/>
          <w:i w:val="false"/>
          <w:color w:val="000000"/>
          <w:sz w:val="22"/>
          <w:lang w:val="pl-Pl"/>
        </w:rPr>
        <w:t>W razie uchybienia któremukolwiek z terminów zapłaty należności określonych w umowie ulega ona rozwiązaniu, a należność staje się natychmiast wymagalna wraz z odsetkami naliczonymi w wysokości określonej jak dla zaległości podatkowych.</w:t>
      </w:r>
    </w:p>
    <w:p>
      <w:pPr>
        <w:spacing w:before="26" w:after="0"/>
        <w:ind w:left="0"/>
        <w:jc w:val="left"/>
        <w:textAlignment w:val="auto"/>
      </w:pPr>
      <w:r>
        <w:rPr>
          <w:rFonts w:ascii="Times New Roman"/>
          <w:b w:val="false"/>
          <w:i w:val="false"/>
          <w:color w:val="000000"/>
          <w:sz w:val="22"/>
          <w:lang w:val="pl-Pl"/>
        </w:rPr>
        <w:t xml:space="preserve">3h. </w:t>
      </w:r>
      <w:r>
        <w:rPr>
          <w:rFonts w:ascii="Times New Roman"/>
          <w:b w:val="false"/>
          <w:i w:val="false"/>
          <w:color w:val="000000"/>
          <w:sz w:val="22"/>
          <w:lang w:val="pl-Pl"/>
        </w:rPr>
        <w:t>Przepisów art. 25c ust. 6 oraz art. 26a ust. 8 nie stosuje się w okresie obowiązywania umów, o których mowa w ust. 1 pkt 2, nie dłużej jednak niż do dnia poprzedzającego dzień powstania dalszych zaległości w zobowiązaniach wobec Funduszu przekraczających ogółem kwotę 100 zł.</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 xml:space="preserve">Przepisy </w:t>
      </w:r>
      <w:r>
        <w:rPr>
          <w:rFonts w:ascii="Times New Roman"/>
          <w:b w:val="false"/>
          <w:i w:val="false"/>
          <w:color w:val="1b1b1b"/>
          <w:sz w:val="22"/>
          <w:lang w:val="pl-Pl"/>
        </w:rPr>
        <w:t>art. 67b</w:t>
      </w:r>
      <w:r>
        <w:rPr>
          <w:rFonts w:ascii="Times New Roman"/>
          <w:b w:val="false"/>
          <w:i w:val="false"/>
          <w:color w:val="000000"/>
          <w:sz w:val="22"/>
          <w:lang w:val="pl-Pl"/>
        </w:rPr>
        <w:t xml:space="preserve"> i </w:t>
      </w:r>
      <w:r>
        <w:rPr>
          <w:rFonts w:ascii="Times New Roman"/>
          <w:b w:val="false"/>
          <w:i w:val="false"/>
          <w:color w:val="1b1b1b"/>
          <w:sz w:val="22"/>
          <w:lang w:val="pl-Pl"/>
        </w:rPr>
        <w:t>art. 67d § 1</w:t>
      </w:r>
      <w:r>
        <w:rPr>
          <w:rFonts w:ascii="Times New Roman"/>
          <w:b w:val="false"/>
          <w:i w:val="false"/>
          <w:color w:val="000000"/>
          <w:sz w:val="22"/>
          <w:lang w:val="pl-Pl"/>
        </w:rPr>
        <w:t xml:space="preserve"> i </w:t>
      </w:r>
      <w:r>
        <w:rPr>
          <w:rFonts w:ascii="Times New Roman"/>
          <w:b w:val="false"/>
          <w:i w:val="false"/>
          <w:color w:val="1b1b1b"/>
          <w:sz w:val="22"/>
          <w:lang w:val="pl-Pl"/>
        </w:rPr>
        <w:t>2</w:t>
      </w:r>
      <w:r>
        <w:rPr>
          <w:rFonts w:ascii="Times New Roman"/>
          <w:b w:val="false"/>
          <w:i w:val="false"/>
          <w:color w:val="000000"/>
          <w:sz w:val="22"/>
          <w:lang w:val="pl-Pl"/>
        </w:rPr>
        <w:t xml:space="preserve"> Ordynacji podatkowej stosuje się odpowiednio.</w:t>
      </w:r>
    </w:p>
    <w:p>
      <w:pPr>
        <w:spacing w:before="80" w:after="0"/>
        <w:ind w:left="0"/>
        <w:jc w:val="left"/>
        <w:textAlignment w:val="auto"/>
      </w:pPr>
      <w:r>
        <w:rPr>
          <w:rFonts w:ascii="Times New Roman"/>
          <w:b/>
          <w:i w:val="false"/>
          <w:color w:val="000000"/>
          <w:sz w:val="22"/>
          <w:lang w:val="pl-Pl"/>
        </w:rPr>
        <w:t xml:space="preserve">Art. 49g. </w:t>
      </w:r>
      <w:r>
        <w:rPr>
          <w:rFonts w:ascii="Times New Roman"/>
          <w:b/>
          <w:i w:val="false"/>
          <w:color w:val="000000"/>
          <w:sz w:val="22"/>
          <w:vertAlign w:val="superscript"/>
          <w:lang w:val="pl-Pl"/>
        </w:rPr>
        <w:t>46</w:t>
      </w:r>
      <w:r>
        <w:rPr>
          <w:rFonts w:ascii="Times New Roman"/>
          <w:b/>
          <w:i w:val="false"/>
          <w:color w:val="000000"/>
          <w:sz w:val="22"/>
          <w:lang w:val="pl-Pl"/>
        </w:rPr>
        <w:t xml:space="preserve"> </w:t>
      </w:r>
      <w:r>
        <w:rPr>
          <w:rFonts w:ascii="Times New Roman"/>
          <w:b/>
          <w:i w:val="false"/>
          <w:color w:val="000000"/>
          <w:sz w:val="22"/>
          <w:lang w:val="pl-Pl"/>
        </w:rPr>
        <w:t xml:space="preserve"> [Wniosek o ponowne rozpatrzenie sprawy umorzenia lub rozłożenia na raty należności]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 Od decyzji Prezesa Zarządu Funduszu wydanych na podstawie art. 49f przysługuje wniosek o ponowne rozpatrzenie sprawy do Prezesa Zarządu Funduszu.</w:t>
      </w:r>
    </w:p>
    <w:p>
      <w:pPr>
        <w:spacing w:before="80" w:after="0"/>
        <w:ind w:left="0"/>
        <w:jc w:val="left"/>
        <w:textAlignment w:val="auto"/>
      </w:pPr>
      <w:r>
        <w:rPr>
          <w:rFonts w:ascii="Times New Roman"/>
          <w:b/>
          <w:i w:val="false"/>
          <w:color w:val="000000"/>
          <w:sz w:val="22"/>
          <w:lang w:val="pl-Pl"/>
        </w:rPr>
        <w:t xml:space="preserve">Art. 50. </w:t>
      </w:r>
      <w:r>
        <w:rPr>
          <w:rFonts w:ascii="Times New Roman"/>
          <w:b/>
          <w:i w:val="false"/>
          <w:color w:val="000000"/>
          <w:sz w:val="22"/>
          <w:lang w:val="pl-Pl"/>
        </w:rPr>
        <w:t xml:space="preserve"> [Organy PFRON]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Organami Funduszu są Rada Nadzorcza i Zarząd.</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Rada Nadzorcza składa się z:</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Prezesa Rady Nadzorczej, którym jest Pełnomocnik;</w:t>
      </w:r>
    </w:p>
    <w:p>
      <w:pPr>
        <w:spacing w:before="26" w:after="0"/>
        <w:ind w:left="373"/>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przedstawiciela ministra właściwego do spraw finansów publicznych;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przedstawicieli organizacji pozarządowych, w tym:</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po jednym przedstawicielu każdej organizacji pracodawców, reprezentatywnej w rozumieniu ustawy o Radzie Dialogu Społecznego,</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po jednym przedstawicielu każdej organizacji związkowej, reprezentatywnej w rozumieniu ustawy o Radzie Dialogu Społecznego,</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dwóch przedstawicieli innych niż wymienione w lit. a i b organizacji pozarządowych.</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lang w:val="pl-Pl"/>
        </w:rPr>
        <w:t>W przypadku gdy w trakcie trwania kadencji Rady organizacja pracodawców lub organizacja związkowa stanie się organizacją reprezentatywną w rozumieniu ustawy o Radzie Dialogu Społecznego, przedstawiciel tej organizacji wchodzi w skład Rady.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Członków Rady Nadzorczej powołuje na wniosek Pełnomocnika, a w przypadku przedstawicieli, o których mowa w ust. 2 pkt 2, na wniosek uprawnionych organizacji, minister właściwy do spraw zabezpieczenia społecznego.</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Minister właściwy do spraw zabezpieczenia społecznego może odwołać członka Rady Nadzorczej przed upływem kadencji: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 jego wniosek;</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na wniosek reprezentowanego podmiotu;</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na wniosek Pełnomocnika, zaopiniowany przez reprezentowany podmiot.</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Kadencja Rady Nadzorczej trwa 2 lata.</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Do zadań Rady Nadzorczej należy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zatwierdzanie planów działalności i projektu planu finansowego Funduszu;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opiniowanie kryteriów wyboru przedsięwzięć finansowanych ze środków Funduszu, zgodnie z kierunkowymi założeniami polityki zatrudniania, rehabilitacji zawodowej i społecznej osób niepełnosprawnych, określonymi przez Pełnomocnika;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zatwierdzanie wniosków Zarządu w sprawach zaciągania przez Fundusz pożyczek;</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opiniowanie wniosków w sprawie powołania i odwołania każdego z zastępców Prezesa Zarządu;</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dokonywanie kontroli i oceny działalności Zarządu;</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zatwierdzanie rocznych sprawozdań Funduszu;</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składanie ministrowi właściwemu do spraw zabezpieczenia społecznego, w terminie do dnia 20 marca każdego roku, sprawozdań z działalności Funduszu.</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Obsługę Rady Nadzorczej sprawuje Biuro Funduszu.</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Minister właściwy do spraw zabezpieczenia społecznego określi, w drodze rozporządzenia, szczegółowe zasady i tryb powoływania oraz odwoływania członków Rady Nadzorczej, a także szczegółowe zasady działania Rady Nadzorczej i szkolenia jej członków oraz wysokość ich wynagrodzenia za udział w posiedzeniach Rady.</w:t>
      </w:r>
    </w:p>
    <w:p>
      <w:pPr>
        <w:spacing w:before="80" w:after="0"/>
        <w:ind w:left="0"/>
        <w:jc w:val="left"/>
        <w:textAlignment w:val="auto"/>
      </w:pPr>
      <w:r>
        <w:rPr>
          <w:rFonts w:ascii="Times New Roman"/>
          <w:b/>
          <w:i w:val="false"/>
          <w:color w:val="000000"/>
          <w:sz w:val="22"/>
          <w:lang w:val="pl-Pl"/>
        </w:rPr>
        <w:t xml:space="preserve">Art. 51. </w:t>
      </w:r>
      <w:r>
        <w:rPr>
          <w:rFonts w:ascii="Times New Roman"/>
          <w:b/>
          <w:i w:val="false"/>
          <w:color w:val="000000"/>
          <w:sz w:val="22"/>
          <w:lang w:val="pl-Pl"/>
        </w:rPr>
        <w:t xml:space="preserve"> [Zarząd PFRON]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vertAlign w:val="superscript"/>
          <w:lang w:val="pl-Pl"/>
        </w:rPr>
        <w:t>47</w:t>
      </w:r>
      <w:r>
        <w:rPr>
          <w:rFonts w:ascii="Times New Roman"/>
          <w:b w:val="false"/>
          <w:i w:val="false"/>
          <w:color w:val="000000"/>
          <w:sz w:val="22"/>
          <w:lang w:val="pl-Pl"/>
        </w:rPr>
        <w:t xml:space="preserve"> </w:t>
      </w:r>
      <w:r>
        <w:rPr>
          <w:rFonts w:ascii="Times New Roman"/>
          <w:b w:val="false"/>
          <w:i w:val="false"/>
          <w:color w:val="000000"/>
          <w:sz w:val="22"/>
          <w:lang w:val="pl-Pl"/>
        </w:rPr>
        <w:t xml:space="preserve"> W skład Zarządu Funduszu wchodzą Prezes Zarządu Funduszu, zwany dalej "Prezesem", i dwaj jego zastępcy. Prezesa powołuje Prezes Rady Ministrów, na wniosek ministra właściwego do spraw zabezpieczenia społecznego. Prezes Rady Ministrów odwołuje Prezesa.</w:t>
      </w:r>
    </w:p>
    <w:p>
      <w:pPr>
        <w:spacing w:before="26" w:after="0"/>
        <w:ind w:left="0"/>
        <w:jc w:val="left"/>
        <w:textAlignment w:val="auto"/>
      </w:pPr>
      <w:r>
        <w:rPr>
          <w:rFonts w:ascii="Times New Roman"/>
          <w:b w:val="false"/>
          <w:i w:val="false"/>
          <w:color w:val="000000"/>
          <w:sz w:val="22"/>
          <w:lang w:val="pl-Pl"/>
        </w:rPr>
        <w:t xml:space="preserve">1a. </w:t>
      </w:r>
      <w:r>
        <w:rPr>
          <w:rFonts w:ascii="Times New Roman"/>
          <w:b w:val="false"/>
          <w:i w:val="false"/>
          <w:color w:val="000000"/>
          <w:sz w:val="22"/>
          <w:lang w:val="pl-Pl"/>
        </w:rPr>
        <w:t>(uchylony).</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vertAlign w:val="superscript"/>
          <w:lang w:val="pl-Pl"/>
        </w:rPr>
        <w:t>48</w:t>
      </w:r>
      <w:r>
        <w:rPr>
          <w:rFonts w:ascii="Times New Roman"/>
          <w:b w:val="false"/>
          <w:i w:val="false"/>
          <w:color w:val="000000"/>
          <w:sz w:val="22"/>
          <w:lang w:val="pl-Pl"/>
        </w:rPr>
        <w:t xml:space="preserve"> </w:t>
      </w:r>
      <w:r>
        <w:rPr>
          <w:rFonts w:ascii="Times New Roman"/>
          <w:b w:val="false"/>
          <w:i w:val="false"/>
          <w:color w:val="000000"/>
          <w:sz w:val="22"/>
          <w:lang w:val="pl-Pl"/>
        </w:rPr>
        <w:t xml:space="preserve"> Zastępców Prezesa, na wniosek Prezesa zaopiniowany przez Radę Nadzorczą, powołuje minister właściwy do spraw zabezpieczenia społecznego. Minister właściwy do spraw zabezpieczenia społecznego odwołuje zastępców Prezesa, na wniosek Prezesa zaopiniowany przez Radę Nadzorczą.</w:t>
      </w:r>
    </w:p>
    <w:p>
      <w:pPr>
        <w:spacing w:before="26" w:after="0"/>
        <w:ind w:left="0"/>
        <w:jc w:val="left"/>
        <w:textAlignment w:val="auto"/>
      </w:pPr>
      <w:r>
        <w:rPr>
          <w:rFonts w:ascii="Times New Roman"/>
          <w:b w:val="false"/>
          <w:i w:val="false"/>
          <w:color w:val="000000"/>
          <w:sz w:val="22"/>
          <w:lang w:val="pl-Pl"/>
        </w:rPr>
        <w:t xml:space="preserve">2a. </w:t>
      </w:r>
      <w:r>
        <w:rPr>
          <w:rFonts w:ascii="Times New Roman"/>
          <w:b w:val="false"/>
          <w:i w:val="false"/>
          <w:color w:val="000000"/>
          <w:sz w:val="22"/>
          <w:vertAlign w:val="superscript"/>
          <w:lang w:val="pl-Pl"/>
        </w:rPr>
        <w:t>49</w:t>
      </w:r>
      <w:r>
        <w:rPr>
          <w:rFonts w:ascii="Times New Roman"/>
          <w:b w:val="false"/>
          <w:i w:val="false"/>
          <w:color w:val="000000"/>
          <w:sz w:val="22"/>
          <w:lang w:val="pl-Pl"/>
        </w:rPr>
        <w:t xml:space="preserve"> </w:t>
      </w:r>
      <w:r>
        <w:rPr>
          <w:rFonts w:ascii="Times New Roman"/>
          <w:b w:val="false"/>
          <w:i w:val="false"/>
          <w:color w:val="000000"/>
          <w:sz w:val="22"/>
          <w:lang w:val="pl-Pl"/>
        </w:rPr>
        <w:t xml:space="preserve"> Powołanie na stanowisko Prezesa i Zastępców Prezesa jest równoznaczne z nawiązaniem stosunku pracy na podstawie powołania, w rozumieniu przepisów </w:t>
      </w:r>
      <w:r>
        <w:rPr>
          <w:rFonts w:ascii="Times New Roman"/>
          <w:b w:val="false"/>
          <w:i w:val="false"/>
          <w:color w:val="1b1b1b"/>
          <w:sz w:val="22"/>
          <w:lang w:val="pl-Pl"/>
        </w:rPr>
        <w:t>ustawy</w:t>
      </w:r>
      <w:r>
        <w:rPr>
          <w:rFonts w:ascii="Times New Roman"/>
          <w:b w:val="false"/>
          <w:i w:val="false"/>
          <w:color w:val="000000"/>
          <w:sz w:val="22"/>
          <w:lang w:val="pl-Pl"/>
        </w:rPr>
        <w:t xml:space="preserve"> z dnia 26 czerwca 1974 r. - Kodeks pracy.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 zadań Zarządu należy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opracowywanie projektów planów działalności Funduszu i projektu planu finansowego;</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dokonywanie wyboru przedsięwzięć do finansowania ze środków Funduszu;</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gospodarowanie środkami Funduszu;</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opracowywanie szczegółowych zasad finansowania realizacji zadań, o których mowa w ustawie;</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podejmowanie decyzji w sprawie odraczania terminu spłat i umarzania pożyczek;</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sprawowanie kontroli nad wykorzystaniem środków Funduszu przekazywanych na realizację zadań określonych ustawą;</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współpraca z organizacjami pozarządowymi;</w:t>
      </w:r>
    </w:p>
    <w:p>
      <w:pPr>
        <w:spacing w:before="26" w:after="0"/>
        <w:ind w:left="373"/>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składanie Radzie Nadzorczej sprawozdań z działalności Funduszu.</w:t>
      </w:r>
    </w:p>
    <w:p>
      <w:pPr>
        <w:spacing w:before="26" w:after="0"/>
        <w:ind w:left="0"/>
        <w:jc w:val="left"/>
        <w:textAlignment w:val="auto"/>
      </w:pPr>
      <w:r>
        <w:rPr>
          <w:rFonts w:ascii="Times New Roman"/>
          <w:b w:val="false"/>
          <w:i w:val="false"/>
          <w:color w:val="000000"/>
          <w:sz w:val="22"/>
          <w:lang w:val="pl-Pl"/>
        </w:rPr>
        <w:t xml:space="preserve">3a. </w:t>
      </w:r>
      <w:r>
        <w:rPr>
          <w:rFonts w:ascii="Times New Roman"/>
          <w:b w:val="false"/>
          <w:i w:val="false"/>
          <w:color w:val="000000"/>
          <w:sz w:val="22"/>
          <w:lang w:val="pl-Pl"/>
        </w:rPr>
        <w:t xml:space="preserve">Zarząd Funduszu uzgadnia z ministrem właściwym do spraw rozwoju regionalnego projekty planów działalności Funduszu i projekt planu finansowego, o których mowa w ust. 3 pkt 1, w trybie określonym w </w:t>
      </w:r>
      <w:r>
        <w:rPr>
          <w:rFonts w:ascii="Times New Roman"/>
          <w:b w:val="false"/>
          <w:i w:val="false"/>
          <w:color w:val="1b1b1b"/>
          <w:sz w:val="22"/>
          <w:lang w:val="pl-Pl"/>
        </w:rPr>
        <w:t>ustawie</w:t>
      </w:r>
      <w:r>
        <w:rPr>
          <w:rFonts w:ascii="Times New Roman"/>
          <w:b w:val="false"/>
          <w:i w:val="false"/>
          <w:color w:val="000000"/>
          <w:sz w:val="22"/>
          <w:lang w:val="pl-Pl"/>
        </w:rPr>
        <w:t xml:space="preserve"> </w:t>
      </w:r>
      <w:r>
        <w:rPr>
          <w:rFonts w:ascii="Times New Roman"/>
          <w:b w:val="false"/>
          <w:i/>
          <w:color w:val="000000"/>
          <w:sz w:val="22"/>
          <w:lang w:val="pl-Pl"/>
        </w:rPr>
        <w:t>z dnia 12 maja 2000 r. o zasadach wspierania rozwoju regionalnego (Dz. U. poz. 550, z późn. zm.)</w:t>
      </w:r>
      <w:r>
        <w:rPr>
          <w:rFonts w:ascii="Times New Roman"/>
          <w:b w:val="false"/>
          <w:i w:val="false"/>
          <w:color w:val="000000"/>
          <w:sz w:val="22"/>
          <w:lang w:val="pl-Pl"/>
        </w:rPr>
        <w:t xml:space="preserve"> </w:t>
      </w:r>
      <w:r>
        <w:rPr>
          <w:rFonts w:ascii="Times New Roman"/>
          <w:b w:val="false"/>
          <w:i w:val="false"/>
          <w:color w:val="000000"/>
          <w:sz w:val="22"/>
          <w:vertAlign w:val="superscript"/>
          <w:lang w:val="pl-Pl"/>
        </w:rPr>
        <w:t>50</w:t>
      </w:r>
      <w:r>
        <w:rPr>
          <w:rFonts w:ascii="Times New Roman"/>
          <w:b w:val="false"/>
          <w:i w:val="false"/>
          <w:color w:val="000000"/>
          <w:sz w:val="22"/>
          <w:lang w:val="pl-Pl"/>
        </w:rPr>
        <w:t xml:space="preserve"> .</w:t>
      </w:r>
    </w:p>
    <w:p>
      <w:pPr>
        <w:spacing w:before="26" w:after="0"/>
        <w:ind w:left="0"/>
        <w:jc w:val="left"/>
        <w:textAlignment w:val="auto"/>
      </w:pPr>
      <w:r>
        <w:rPr>
          <w:rFonts w:ascii="Times New Roman"/>
          <w:b w:val="false"/>
          <w:i w:val="false"/>
          <w:color w:val="000000"/>
          <w:sz w:val="22"/>
          <w:lang w:val="pl-Pl"/>
        </w:rPr>
        <w:t xml:space="preserve">3b. </w:t>
      </w:r>
      <w:r>
        <w:rPr>
          <w:rFonts w:ascii="Times New Roman"/>
          <w:b w:val="false"/>
          <w:i w:val="false"/>
          <w:color w:val="000000"/>
          <w:sz w:val="22"/>
          <w:lang w:val="pl-Pl"/>
        </w:rPr>
        <w:t>Zadania Zarządu, o których mowa w ust. 3 pkt 2 i 4, nie dotyczą środków, o których mowa w art. 48 ust. 1 pkt 1.</w:t>
      </w:r>
    </w:p>
    <w:p>
      <w:pPr>
        <w:spacing w:before="26" w:after="0"/>
        <w:ind w:left="0"/>
        <w:jc w:val="left"/>
        <w:textAlignment w:val="auto"/>
      </w:pPr>
      <w:r>
        <w:rPr>
          <w:rFonts w:ascii="Times New Roman"/>
          <w:b w:val="false"/>
          <w:i w:val="false"/>
          <w:color w:val="000000"/>
          <w:sz w:val="22"/>
          <w:lang w:val="pl-Pl"/>
        </w:rPr>
        <w:t xml:space="preserve">3c. </w:t>
      </w:r>
      <w:r>
        <w:rPr>
          <w:rFonts w:ascii="Times New Roman"/>
          <w:b w:val="false"/>
          <w:i w:val="false"/>
          <w:color w:val="000000"/>
          <w:sz w:val="22"/>
          <w:lang w:val="pl-Pl"/>
        </w:rPr>
        <w:t>Zarząd Funduszu może żądać niezwłocznego zwrotu całości lub części środków do Funduszu lub zawiesić wypłatę dalszych kwot, jeżeli w ciągu roku budżetowego, w wyniku kontroli, o której mowa w ust. 3 pkt 6, stwierdzi nieprawidłowości polegające na wykorzystaniu przekazanych środków z Funduszu niezgodnie z ich przeznaczeniem.</w:t>
      </w:r>
    </w:p>
    <w:p>
      <w:pPr>
        <w:spacing w:before="26" w:after="0"/>
        <w:ind w:left="0"/>
        <w:jc w:val="left"/>
        <w:textAlignment w:val="auto"/>
      </w:pPr>
      <w:r>
        <w:rPr>
          <w:rFonts w:ascii="Times New Roman"/>
          <w:b w:val="false"/>
          <w:i w:val="false"/>
          <w:color w:val="000000"/>
          <w:sz w:val="22"/>
          <w:lang w:val="pl-Pl"/>
        </w:rPr>
        <w:t xml:space="preserve">3d. </w:t>
      </w:r>
      <w:r>
        <w:rPr>
          <w:rFonts w:ascii="Times New Roman"/>
          <w:b w:val="false"/>
          <w:i w:val="false"/>
          <w:color w:val="000000"/>
          <w:sz w:val="22"/>
          <w:lang w:val="pl-Pl"/>
        </w:rPr>
        <w:t>Do oceny prawidłowości wykorzystania środków Funduszu stosuje się przepisy o finansach publicznych.</w:t>
      </w:r>
    </w:p>
    <w:p>
      <w:pPr>
        <w:spacing w:before="26" w:after="0"/>
        <w:ind w:left="0"/>
        <w:jc w:val="left"/>
        <w:textAlignment w:val="auto"/>
      </w:pPr>
      <w:r>
        <w:rPr>
          <w:rFonts w:ascii="Times New Roman"/>
          <w:b w:val="false"/>
          <w:i w:val="false"/>
          <w:color w:val="000000"/>
          <w:sz w:val="22"/>
          <w:lang w:val="pl-Pl"/>
        </w:rPr>
        <w:t xml:space="preserve">3e. </w:t>
      </w:r>
      <w:r>
        <w:rPr>
          <w:rFonts w:ascii="Times New Roman"/>
          <w:b w:val="false"/>
          <w:i w:val="false"/>
          <w:color w:val="000000"/>
          <w:sz w:val="22"/>
          <w:lang w:val="pl-Pl"/>
        </w:rPr>
        <w:t>Zarząd Funduszu może dokonać podziału środków nieprzekazanych lub zwróconych, o których mowa w ust. 3c, po uzyskaniu pozytywnej opinii Rady Nadzorczej Funduszu i ministra właściwego do spraw zabezpieczenia społecznego.</w:t>
      </w:r>
    </w:p>
    <w:p>
      <w:pPr>
        <w:spacing w:before="26" w:after="0"/>
        <w:ind w:left="0"/>
        <w:jc w:val="left"/>
        <w:textAlignment w:val="auto"/>
      </w:pPr>
      <w:r>
        <w:rPr>
          <w:rFonts w:ascii="Times New Roman"/>
          <w:b w:val="false"/>
          <w:i w:val="false"/>
          <w:color w:val="000000"/>
          <w:sz w:val="22"/>
          <w:lang w:val="pl-Pl"/>
        </w:rPr>
        <w:t xml:space="preserve">3f. </w:t>
      </w:r>
      <w:r>
        <w:rPr>
          <w:rFonts w:ascii="Times New Roman"/>
          <w:b w:val="false"/>
          <w:i w:val="false"/>
          <w:color w:val="000000"/>
          <w:sz w:val="22"/>
          <w:lang w:val="pl-Pl"/>
        </w:rPr>
        <w:t>Minister właściwy do spraw zabezpieczenia społecznego określi, w drodze rozporządzenia, tryb i zasady sprawowania przez Fundusz kontroli, o której mowa w ust. 3 pkt 6.</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Zarząd udostępnia Radzie Nadzorczej, na jej żądanie, dokumenty i materiały dotyczące działalności Funduszu.</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Obsługę Zarządu sprawuje Biuro Funduszu.</w:t>
      </w:r>
    </w:p>
    <w:p>
      <w:pPr>
        <w:spacing w:before="80" w:after="0"/>
        <w:ind w:left="0"/>
        <w:jc w:val="left"/>
        <w:textAlignment w:val="auto"/>
      </w:pPr>
      <w:r>
        <w:rPr>
          <w:rFonts w:ascii="Times New Roman"/>
          <w:b/>
          <w:i w:val="false"/>
          <w:color w:val="000000"/>
          <w:sz w:val="22"/>
          <w:lang w:val="pl-Pl"/>
        </w:rPr>
        <w:t xml:space="preserve">Art. 51a. </w:t>
      </w:r>
      <w:r>
        <w:rPr>
          <w:rFonts w:ascii="Times New Roman"/>
          <w:b/>
          <w:i w:val="false"/>
          <w:color w:val="000000"/>
          <w:sz w:val="22"/>
          <w:lang w:val="pl-Pl"/>
        </w:rPr>
        <w:t xml:space="preserve"> [Prezes PFRON]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Stanowisko Prezesa może zajmować osoba, która: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posiada tytuł zawodowy magistra lub równorzędny;</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jest obywatelem polskim;</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korzysta z pełni praw publicznych;</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nie była skazana prawomocnym wyrokiem za umyślne przestępstwo lub umyślne przestępstwo skarbowe;</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posiada kompetencje kierownicze;</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posiada co najmniej 6-letni staż pracy, w tym co najmniej 3-letni staż pracy na stanowisku kierowniczym;</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posiada wykształcenie i wiedzę z zakresu spraw należących do właściwości Funduszu.</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vertAlign w:val="superscript"/>
          <w:lang w:val="pl-Pl"/>
        </w:rPr>
        <w:t>51</w:t>
      </w:r>
      <w:r>
        <w:rPr>
          <w:rFonts w:ascii="Times New Roman"/>
          <w:b w:val="false"/>
          <w:i w:val="false"/>
          <w:color w:val="000000"/>
          <w:sz w:val="22"/>
          <w:lang w:val="pl-Pl"/>
        </w:rPr>
        <w:t xml:space="preserve"> </w:t>
      </w:r>
      <w:r>
        <w:rPr>
          <w:rFonts w:ascii="Times New Roman"/>
          <w:b w:val="false"/>
          <w:i w:val="false"/>
          <w:color w:val="000000"/>
          <w:sz w:val="22"/>
          <w:lang w:val="pl-Pl"/>
        </w:rPr>
        <w:t xml:space="preserve"> (uchylony).</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vertAlign w:val="superscript"/>
          <w:lang w:val="pl-Pl"/>
        </w:rPr>
        <w:t>52</w:t>
      </w:r>
      <w:r>
        <w:rPr>
          <w:rFonts w:ascii="Times New Roman"/>
          <w:b w:val="false"/>
          <w:i w:val="false"/>
          <w:color w:val="000000"/>
          <w:sz w:val="22"/>
          <w:lang w:val="pl-Pl"/>
        </w:rPr>
        <w:t xml:space="preserve"> </w:t>
      </w:r>
      <w:r>
        <w:rPr>
          <w:rFonts w:ascii="Times New Roman"/>
          <w:b w:val="false"/>
          <w:i w:val="false"/>
          <w:color w:val="000000"/>
          <w:sz w:val="22"/>
          <w:lang w:val="pl-Pl"/>
        </w:rPr>
        <w:t xml:space="preserve"> (uchylony).</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vertAlign w:val="superscript"/>
          <w:lang w:val="pl-Pl"/>
        </w:rPr>
        <w:t>53</w:t>
      </w:r>
      <w:r>
        <w:rPr>
          <w:rFonts w:ascii="Times New Roman"/>
          <w:b w:val="false"/>
          <w:i w:val="false"/>
          <w:color w:val="000000"/>
          <w:sz w:val="22"/>
          <w:lang w:val="pl-Pl"/>
        </w:rPr>
        <w:t xml:space="preserve"> </w:t>
      </w:r>
      <w:r>
        <w:rPr>
          <w:rFonts w:ascii="Times New Roman"/>
          <w:b w:val="false"/>
          <w:i w:val="false"/>
          <w:color w:val="000000"/>
          <w:sz w:val="22"/>
          <w:lang w:val="pl-Pl"/>
        </w:rPr>
        <w:t xml:space="preserve"> (uchylony).</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vertAlign w:val="superscript"/>
          <w:lang w:val="pl-Pl"/>
        </w:rPr>
        <w:t>54</w:t>
      </w:r>
      <w:r>
        <w:rPr>
          <w:rFonts w:ascii="Times New Roman"/>
          <w:b w:val="false"/>
          <w:i w:val="false"/>
          <w:color w:val="000000"/>
          <w:sz w:val="22"/>
          <w:lang w:val="pl-Pl"/>
        </w:rPr>
        <w:t xml:space="preserve"> </w:t>
      </w:r>
      <w:r>
        <w:rPr>
          <w:rFonts w:ascii="Times New Roman"/>
          <w:b w:val="false"/>
          <w:i w:val="false"/>
          <w:color w:val="000000"/>
          <w:sz w:val="22"/>
          <w:lang w:val="pl-Pl"/>
        </w:rPr>
        <w:t xml:space="preserve"> (uchylony).</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vertAlign w:val="superscript"/>
          <w:lang w:val="pl-Pl"/>
        </w:rPr>
        <w:t>55</w:t>
      </w:r>
      <w:r>
        <w:rPr>
          <w:rFonts w:ascii="Times New Roman"/>
          <w:b w:val="false"/>
          <w:i w:val="false"/>
          <w:color w:val="000000"/>
          <w:sz w:val="22"/>
          <w:lang w:val="pl-Pl"/>
        </w:rPr>
        <w:t xml:space="preserve"> </w:t>
      </w:r>
      <w:r>
        <w:rPr>
          <w:rFonts w:ascii="Times New Roman"/>
          <w:b w:val="false"/>
          <w:i w:val="false"/>
          <w:color w:val="000000"/>
          <w:sz w:val="22"/>
          <w:lang w:val="pl-Pl"/>
        </w:rPr>
        <w:t xml:space="preserve"> (uchylony).</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vertAlign w:val="superscript"/>
          <w:lang w:val="pl-Pl"/>
        </w:rPr>
        <w:t>56</w:t>
      </w:r>
      <w:r>
        <w:rPr>
          <w:rFonts w:ascii="Times New Roman"/>
          <w:b w:val="false"/>
          <w:i w:val="false"/>
          <w:color w:val="000000"/>
          <w:sz w:val="22"/>
          <w:lang w:val="pl-Pl"/>
        </w:rPr>
        <w:t xml:space="preserve"> </w:t>
      </w:r>
      <w:r>
        <w:rPr>
          <w:rFonts w:ascii="Times New Roman"/>
          <w:b w:val="false"/>
          <w:i w:val="false"/>
          <w:color w:val="000000"/>
          <w:sz w:val="22"/>
          <w:lang w:val="pl-Pl"/>
        </w:rPr>
        <w:t xml:space="preserve"> (uchylony).</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vertAlign w:val="superscript"/>
          <w:lang w:val="pl-Pl"/>
        </w:rPr>
        <w:t>57</w:t>
      </w:r>
      <w:r>
        <w:rPr>
          <w:rFonts w:ascii="Times New Roman"/>
          <w:b w:val="false"/>
          <w:i w:val="false"/>
          <w:color w:val="000000"/>
          <w:sz w:val="22"/>
          <w:lang w:val="pl-Pl"/>
        </w:rPr>
        <w:t xml:space="preserve"> </w:t>
      </w:r>
      <w:r>
        <w:rPr>
          <w:rFonts w:ascii="Times New Roman"/>
          <w:b w:val="false"/>
          <w:i w:val="false"/>
          <w:color w:val="000000"/>
          <w:sz w:val="22"/>
          <w:lang w:val="pl-Pl"/>
        </w:rPr>
        <w:t xml:space="preserve"> (uchylony).</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vertAlign w:val="superscript"/>
          <w:lang w:val="pl-Pl"/>
        </w:rPr>
        <w:t>58</w:t>
      </w:r>
      <w:r>
        <w:rPr>
          <w:rFonts w:ascii="Times New Roman"/>
          <w:b w:val="false"/>
          <w:i w:val="false"/>
          <w:color w:val="000000"/>
          <w:sz w:val="22"/>
          <w:lang w:val="pl-Pl"/>
        </w:rPr>
        <w:t xml:space="preserve"> </w:t>
      </w:r>
      <w:r>
        <w:rPr>
          <w:rFonts w:ascii="Times New Roman"/>
          <w:b w:val="false"/>
          <w:i w:val="false"/>
          <w:color w:val="000000"/>
          <w:sz w:val="22"/>
          <w:lang w:val="pl-Pl"/>
        </w:rPr>
        <w:t xml:space="preserve"> (uchylony).</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vertAlign w:val="superscript"/>
          <w:lang w:val="pl-Pl"/>
        </w:rPr>
        <w:t>59</w:t>
      </w:r>
      <w:r>
        <w:rPr>
          <w:rFonts w:ascii="Times New Roman"/>
          <w:b w:val="false"/>
          <w:i w:val="false"/>
          <w:color w:val="000000"/>
          <w:sz w:val="22"/>
          <w:lang w:val="pl-Pl"/>
        </w:rPr>
        <w:t xml:space="preserve"> </w:t>
      </w:r>
      <w:r>
        <w:rPr>
          <w:rFonts w:ascii="Times New Roman"/>
          <w:b w:val="false"/>
          <w:i w:val="false"/>
          <w:color w:val="000000"/>
          <w:sz w:val="22"/>
          <w:lang w:val="pl-Pl"/>
        </w:rPr>
        <w:t xml:space="preserve"> (uchylony).</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vertAlign w:val="superscript"/>
          <w:lang w:val="pl-Pl"/>
        </w:rPr>
        <w:t>60</w:t>
      </w:r>
      <w:r>
        <w:rPr>
          <w:rFonts w:ascii="Times New Roman"/>
          <w:b w:val="false"/>
          <w:i w:val="false"/>
          <w:color w:val="000000"/>
          <w:sz w:val="22"/>
          <w:lang w:val="pl-Pl"/>
        </w:rPr>
        <w:t xml:space="preserve"> </w:t>
      </w:r>
      <w:r>
        <w:rPr>
          <w:rFonts w:ascii="Times New Roman"/>
          <w:b w:val="false"/>
          <w:i w:val="false"/>
          <w:color w:val="000000"/>
          <w:sz w:val="22"/>
          <w:lang w:val="pl-Pl"/>
        </w:rPr>
        <w:t xml:space="preserve"> (uchylony).</w:t>
      </w:r>
    </w:p>
    <w:p>
      <w:pPr>
        <w:spacing w:before="26" w:after="0"/>
        <w:ind w:left="0"/>
        <w:jc w:val="left"/>
        <w:textAlignment w:val="auto"/>
      </w:pPr>
      <w:r>
        <w:rPr>
          <w:rFonts w:ascii="Times New Roman"/>
          <w:b w:val="false"/>
          <w:i w:val="false"/>
          <w:color w:val="000000"/>
          <w:sz w:val="22"/>
          <w:lang w:val="pl-Pl"/>
        </w:rPr>
        <w:t xml:space="preserve">12. </w:t>
      </w:r>
      <w:r>
        <w:rPr>
          <w:rFonts w:ascii="Times New Roman"/>
          <w:b w:val="false"/>
          <w:i w:val="false"/>
          <w:color w:val="000000"/>
          <w:sz w:val="22"/>
          <w:vertAlign w:val="superscript"/>
          <w:lang w:val="pl-Pl"/>
        </w:rPr>
        <w:t>61</w:t>
      </w:r>
      <w:r>
        <w:rPr>
          <w:rFonts w:ascii="Times New Roman"/>
          <w:b w:val="false"/>
          <w:i w:val="false"/>
          <w:color w:val="000000"/>
          <w:sz w:val="22"/>
          <w:lang w:val="pl-Pl"/>
        </w:rPr>
        <w:t xml:space="preserve"> </w:t>
      </w:r>
      <w:r>
        <w:rPr>
          <w:rFonts w:ascii="Times New Roman"/>
          <w:b w:val="false"/>
          <w:i w:val="false"/>
          <w:color w:val="000000"/>
          <w:sz w:val="22"/>
          <w:lang w:val="pl-Pl"/>
        </w:rPr>
        <w:t xml:space="preserve"> (uchylony).</w:t>
      </w:r>
    </w:p>
    <w:p>
      <w:pPr>
        <w:spacing w:before="80" w:after="0"/>
        <w:ind w:left="0"/>
        <w:jc w:val="left"/>
        <w:textAlignment w:val="auto"/>
      </w:pPr>
      <w:r>
        <w:rPr>
          <w:rFonts w:ascii="Times New Roman"/>
          <w:b/>
          <w:i w:val="false"/>
          <w:color w:val="000000"/>
          <w:sz w:val="22"/>
          <w:lang w:val="pl-Pl"/>
        </w:rPr>
        <w:t xml:space="preserve">Art. 52. </w:t>
      </w:r>
      <w:r>
        <w:rPr>
          <w:rFonts w:ascii="Times New Roman"/>
          <w:b/>
          <w:i w:val="false"/>
          <w:color w:val="000000"/>
          <w:sz w:val="22"/>
          <w:lang w:val="pl-Pl"/>
        </w:rPr>
        <w:t xml:space="preserve"> [Oddziały PFRON]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Zarząd Funduszu może tworzyć i znosić oddziały Funduszu oraz określa zakres i obszar ich działania.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Dyrektora oddziału powołuje i odwołuje Prezes Zarządu.</w:t>
      </w:r>
    </w:p>
    <w:p>
      <w:pPr>
        <w:spacing w:before="80" w:after="0"/>
        <w:ind w:left="0"/>
        <w:jc w:val="left"/>
        <w:textAlignment w:val="auto"/>
      </w:pPr>
      <w:r>
        <w:rPr>
          <w:rFonts w:ascii="Times New Roman"/>
          <w:b/>
          <w:i w:val="false"/>
          <w:color w:val="000000"/>
          <w:sz w:val="22"/>
          <w:lang w:val="pl-Pl"/>
        </w:rPr>
        <w:t xml:space="preserve">Art. 53. </w:t>
      </w:r>
      <w:r>
        <w:rPr>
          <w:rFonts w:ascii="Times New Roman"/>
          <w:b/>
          <w:i w:val="false"/>
          <w:color w:val="000000"/>
          <w:sz w:val="22"/>
          <w:lang w:val="pl-Pl"/>
        </w:rPr>
        <w:t xml:space="preserve"> [Zadania Prezesa PFRON]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Prezes Zarządu reprezentuje Fundusz na zewnątrz.</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Prezes może powoływać pełnomocników Zarządu, ustalając granice ich umocowania.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 składania oświadczeń w zakresie praw i obowiązków majątkowych Funduszu są upoważnieni: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Prezes lub każdy z jego zastępców samodzielnie;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dwaj pełnomocnicy działający łącznie.</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Prezes wykonuje za pracodawcę czynności w sprawach z zakresu prawa pracy w stosunku do pracowników Funduszu.</w:t>
      </w:r>
    </w:p>
    <w:p>
      <w:pPr>
        <w:spacing w:before="80" w:after="0"/>
        <w:ind w:left="0"/>
        <w:jc w:val="left"/>
        <w:textAlignment w:val="auto"/>
      </w:pPr>
      <w:r>
        <w:rPr>
          <w:rFonts w:ascii="Times New Roman"/>
          <w:b/>
          <w:i w:val="false"/>
          <w:color w:val="000000"/>
          <w:sz w:val="22"/>
          <w:lang w:val="pl-Pl"/>
        </w:rPr>
        <w:t xml:space="preserve">Art. 53a. </w:t>
      </w:r>
      <w:r>
        <w:rPr>
          <w:rFonts w:ascii="Times New Roman"/>
          <w:b/>
          <w:i w:val="false"/>
          <w:color w:val="000000"/>
          <w:sz w:val="22"/>
          <w:lang w:val="pl-Pl"/>
        </w:rPr>
        <w:t xml:space="preserve"> [Zatrudnienie w PFRON]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Nabór kandydatów do zatrudnienia na wolne stanowiska pracy w biurze Funduszu jest otwarty i konkurencyjny.</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Ogłoszenie o naborze zamieszcza się w Biuletynie Informacji Publicznej, o którym mowa w </w:t>
      </w:r>
      <w:r>
        <w:rPr>
          <w:rFonts w:ascii="Times New Roman"/>
          <w:b w:val="false"/>
          <w:i w:val="false"/>
          <w:color w:val="1b1b1b"/>
          <w:sz w:val="22"/>
          <w:lang w:val="pl-Pl"/>
        </w:rPr>
        <w:t>ustawie</w:t>
      </w:r>
      <w:r>
        <w:rPr>
          <w:rFonts w:ascii="Times New Roman"/>
          <w:b w:val="false"/>
          <w:i w:val="false"/>
          <w:color w:val="000000"/>
          <w:sz w:val="22"/>
          <w:lang w:val="pl-Pl"/>
        </w:rPr>
        <w:t xml:space="preserve"> z dnia 6 września 2001 r. o dostępie do informacji publicznej, oraz w miejscu powszechnie dostępnym w jednostce organizacyjnej, w której jest prowadzony nabór.</w:t>
      </w:r>
    </w:p>
    <w:p>
      <w:pPr>
        <w:spacing w:before="80" w:after="0"/>
        <w:ind w:left="0"/>
        <w:jc w:val="left"/>
        <w:textAlignment w:val="auto"/>
      </w:pPr>
      <w:r>
        <w:rPr>
          <w:rFonts w:ascii="Times New Roman"/>
          <w:b/>
          <w:i w:val="false"/>
          <w:color w:val="000000"/>
          <w:sz w:val="22"/>
          <w:lang w:val="pl-Pl"/>
        </w:rPr>
        <w:t xml:space="preserve">Art. 53b. </w:t>
      </w:r>
      <w:r>
        <w:rPr>
          <w:rFonts w:ascii="Times New Roman"/>
          <w:b/>
          <w:i w:val="false"/>
          <w:color w:val="000000"/>
          <w:sz w:val="22"/>
          <w:lang w:val="pl-Pl"/>
        </w:rPr>
        <w:t xml:space="preserve"> [Informacja publiczna]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Informacje o kandydatach, którzy zgłosili się do naboru, stanowią informację publiczną w zakresie objętym wymaganiami określonymi w ogłoszeniu o naborze.</w:t>
      </w:r>
    </w:p>
    <w:p>
      <w:pPr>
        <w:spacing w:before="80" w:after="0"/>
        <w:ind w:left="0"/>
        <w:jc w:val="left"/>
        <w:textAlignment w:val="auto"/>
      </w:pPr>
      <w:r>
        <w:rPr>
          <w:rFonts w:ascii="Times New Roman"/>
          <w:b/>
          <w:i w:val="false"/>
          <w:color w:val="000000"/>
          <w:sz w:val="22"/>
          <w:lang w:val="pl-Pl"/>
        </w:rPr>
        <w:t xml:space="preserve">Art. 53c. </w:t>
      </w:r>
      <w:r>
        <w:rPr>
          <w:rFonts w:ascii="Times New Roman"/>
          <w:b/>
          <w:i w:val="false"/>
          <w:color w:val="000000"/>
          <w:sz w:val="22"/>
          <w:lang w:val="pl-Pl"/>
        </w:rPr>
        <w:t xml:space="preserve"> [Składanie dokumentów]</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Termin do składania dokumentów, określony w ogłoszeniu o naborze, nie może być krótszy niż 14 dni od dnia opublikowania tego ogłoszenia w Biuletynie Informacji Publicznej.</w:t>
      </w:r>
    </w:p>
    <w:p>
      <w:pPr>
        <w:spacing w:before="80" w:after="0"/>
        <w:ind w:left="0"/>
        <w:jc w:val="left"/>
        <w:textAlignment w:val="auto"/>
      </w:pPr>
      <w:r>
        <w:rPr>
          <w:rFonts w:ascii="Times New Roman"/>
          <w:b/>
          <w:i w:val="false"/>
          <w:color w:val="000000"/>
          <w:sz w:val="22"/>
          <w:lang w:val="pl-Pl"/>
        </w:rPr>
        <w:t xml:space="preserve">Art. 53d. </w:t>
      </w:r>
      <w:r>
        <w:rPr>
          <w:rFonts w:ascii="Times New Roman"/>
          <w:b/>
          <w:i w:val="false"/>
          <w:color w:val="000000"/>
          <w:sz w:val="22"/>
          <w:lang w:val="pl-Pl"/>
        </w:rPr>
        <w:t xml:space="preserve"> [Lista kandydatów]</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 upływie terminu do składania dokumentów określonego w ogłoszeniu o naborze niezwłocznie upowszechnia się listę kandydatów, którzy spełniają wymagania formalne określone w ogłoszeniu o naborze, przez umieszczenie jej w miejscu powszechnie dostępnym w jednostce organizacyjnej, w której jest prowadzony nabór, a także przez opublikowanie jej w Biuletynie Informacji Publicznej.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Lista, o której mowa w ust. 1, zawiera imię i nazwisko kandydata oraz jego miejsce zamieszkania w rozumieniu przepisów </w:t>
      </w:r>
      <w:r>
        <w:rPr>
          <w:rFonts w:ascii="Times New Roman"/>
          <w:b w:val="false"/>
          <w:i w:val="false"/>
          <w:color w:val="1b1b1b"/>
          <w:sz w:val="22"/>
          <w:lang w:val="pl-Pl"/>
        </w:rPr>
        <w:t>Kodeksu cywilnego</w:t>
      </w:r>
      <w:r>
        <w:rPr>
          <w:rFonts w:ascii="Times New Roman"/>
          <w:b w:val="false"/>
          <w:i w:val="false"/>
          <w:color w:val="000000"/>
          <w:sz w:val="22"/>
          <w:lang w:val="pl-Pl"/>
        </w:rPr>
        <w:t>.</w:t>
      </w:r>
    </w:p>
    <w:p>
      <w:pPr>
        <w:spacing w:before="80" w:after="0"/>
        <w:ind w:left="0"/>
        <w:jc w:val="left"/>
        <w:textAlignment w:val="auto"/>
      </w:pPr>
      <w:r>
        <w:rPr>
          <w:rFonts w:ascii="Times New Roman"/>
          <w:b/>
          <w:i w:val="false"/>
          <w:color w:val="000000"/>
          <w:sz w:val="22"/>
          <w:lang w:val="pl-Pl"/>
        </w:rPr>
        <w:t xml:space="preserve">Art. 53e. </w:t>
      </w:r>
      <w:r>
        <w:rPr>
          <w:rFonts w:ascii="Times New Roman"/>
          <w:b/>
          <w:i w:val="false"/>
          <w:color w:val="000000"/>
          <w:sz w:val="22"/>
          <w:lang w:val="pl-Pl"/>
        </w:rPr>
        <w:t xml:space="preserve"> [Protokół naboru kandydatów]</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Sporządza się protokół przeprowadzonego naboru kandydatów do zatrudnienia na wolne stanowiska pracy w Funduszu.</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Protokół zawiera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określenie stanowiska pracy, na które był prowadzony nabór, liczbę kandydatów oraz imiona, nazwiska i adresy nie więcej niż 5 najlepszych kandydatów uszeregowanych według poziomu spełniania przez nich wymagań określonych w ogłoszeniu o naborze;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informację o zastosowanych metodach i technikach naboru;</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uzasadnienie dokonanego wyboru.</w:t>
      </w:r>
    </w:p>
    <w:p>
      <w:pPr>
        <w:spacing w:before="80" w:after="0"/>
        <w:ind w:left="0"/>
        <w:jc w:val="left"/>
        <w:textAlignment w:val="auto"/>
      </w:pPr>
      <w:r>
        <w:rPr>
          <w:rFonts w:ascii="Times New Roman"/>
          <w:b/>
          <w:i w:val="false"/>
          <w:color w:val="000000"/>
          <w:sz w:val="22"/>
          <w:lang w:val="pl-Pl"/>
        </w:rPr>
        <w:t xml:space="preserve">Art. 53f. </w:t>
      </w:r>
      <w:r>
        <w:rPr>
          <w:rFonts w:ascii="Times New Roman"/>
          <w:b/>
          <w:i w:val="false"/>
          <w:color w:val="000000"/>
          <w:sz w:val="22"/>
          <w:lang w:val="pl-Pl"/>
        </w:rPr>
        <w:t xml:space="preserve"> [Informacja o wyniku naboru]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Informację o wyniku naboru upowszechnia się w terminie 14 dni od dnia zatrudnienia wybranego kandydata albo zakończenia naboru, w przypadku gdy w jego wyniku nie doszło do zatrudnienia żadnego kandydata.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Informacja, o której mowa w ust. 1, zawiera: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nazwę i adres urzędu;</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określenie stanowiska pracy;</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imię i nazwisko kandydata oraz jego miejsce zamieszkania w rozumieniu przepisów </w:t>
      </w:r>
      <w:r>
        <w:rPr>
          <w:rFonts w:ascii="Times New Roman"/>
          <w:b w:val="false"/>
          <w:i w:val="false"/>
          <w:color w:val="1b1b1b"/>
          <w:sz w:val="22"/>
          <w:lang w:val="pl-Pl"/>
        </w:rPr>
        <w:t>Kodeksu cywilnego</w:t>
      </w:r>
      <w:r>
        <w:rPr>
          <w:rFonts w:ascii="Times New Roman"/>
          <w:b w:val="false"/>
          <w:i w:val="false"/>
          <w:color w:val="000000"/>
          <w:sz w:val="22"/>
          <w:lang w:val="pl-Pl"/>
        </w:rPr>
        <w:t>;</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uzasadnienie dokonanego wyboru kandydata albo uzasadnienie niezatrudnienia żadnego kandydata.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Informację o wyniku naboru upowszechnia się w Biuletynie Informacji Publicznej i w miejscu powszechnie dostępnym w jednostce organizacyjnej, w której był prowadzony nabór.</w:t>
      </w:r>
    </w:p>
    <w:p>
      <w:pPr>
        <w:spacing w:before="80" w:after="0"/>
        <w:ind w:left="0"/>
        <w:jc w:val="left"/>
        <w:textAlignment w:val="auto"/>
      </w:pPr>
      <w:r>
        <w:rPr>
          <w:rFonts w:ascii="Times New Roman"/>
          <w:b/>
          <w:i w:val="false"/>
          <w:color w:val="000000"/>
          <w:sz w:val="22"/>
          <w:lang w:val="pl-Pl"/>
        </w:rPr>
        <w:t xml:space="preserve">Art. 53g. </w:t>
      </w:r>
      <w:r>
        <w:rPr>
          <w:rFonts w:ascii="Times New Roman"/>
          <w:b/>
          <w:i w:val="false"/>
          <w:color w:val="000000"/>
          <w:sz w:val="22"/>
          <w:lang w:val="pl-Pl"/>
        </w:rPr>
        <w:t xml:space="preserve"> [Zatrudnienie kolejnego kandydata]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Jeżeli stosunek pracy osoby wyłonionej w drodze naboru ustał w ciągu 3 miesięcy od dnia nawiązania stosunku pracy, można zatrudnić na tym samym stanowisku kolejną osobę spośród najlepszych kandydatów wymienionych w protokole tego naboru. Przepisy art. 53f stosuje się odpowiednio.</w:t>
      </w:r>
    </w:p>
    <w:p>
      <w:pPr>
        <w:spacing w:before="80" w:after="0"/>
        <w:ind w:left="0"/>
        <w:jc w:val="left"/>
        <w:textAlignment w:val="auto"/>
      </w:pPr>
      <w:r>
        <w:rPr>
          <w:rFonts w:ascii="Times New Roman"/>
          <w:b/>
          <w:i w:val="false"/>
          <w:color w:val="000000"/>
          <w:sz w:val="22"/>
          <w:lang w:val="pl-Pl"/>
        </w:rPr>
        <w:t xml:space="preserve">Art. 54. </w:t>
      </w:r>
      <w:r>
        <w:rPr>
          <w:rFonts w:ascii="Times New Roman"/>
          <w:b/>
          <w:i w:val="false"/>
          <w:color w:val="000000"/>
          <w:sz w:val="22"/>
          <w:lang w:val="pl-Pl"/>
        </w:rPr>
        <w:t xml:space="preserve"> [Koszty działalności PFRON]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Ze środków Funduszu pokrywane są:</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koszty jego działalności;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(uchylony);</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koszty obsługi zadań realizowanych przez samorządy powiatowe i wojewódzkie w wysokości faktycznie poniesionej, nie więcej niż 2,5% środków wykorzystanych na realizację zadań, o których mowa w art. 48 ust. 1 pkt 1.</w:t>
      </w:r>
    </w:p>
    <w:p>
      <w:pPr>
        <w:spacing w:before="80" w:after="0"/>
        <w:ind w:left="0"/>
        <w:jc w:val="left"/>
        <w:textAlignment w:val="auto"/>
      </w:pPr>
      <w:r>
        <w:rPr>
          <w:rFonts w:ascii="Times New Roman"/>
          <w:b/>
          <w:i w:val="false"/>
          <w:color w:val="000000"/>
          <w:sz w:val="22"/>
          <w:lang w:val="pl-Pl"/>
        </w:rPr>
        <w:t xml:space="preserve">Art. 55.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56. </w:t>
      </w:r>
      <w:r>
        <w:rPr>
          <w:rFonts w:ascii="Times New Roman"/>
          <w:b/>
          <w:i w:val="false"/>
          <w:color w:val="000000"/>
          <w:sz w:val="22"/>
          <w:lang w:val="pl-Pl"/>
        </w:rPr>
        <w:t xml:space="preserve"> [Informacja o działalności PFRON]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Minister właściwy do spraw zabezpieczenia społecznego składa Radzie Ministrów corocznie informację o działalności Funduszu.</w:t>
      </w:r>
    </w:p>
    <w:p>
      <w:pPr>
        <w:spacing w:before="146" w:after="0"/>
        <w:ind w:left="0"/>
        <w:jc w:val="center"/>
        <w:textAlignment w:val="auto"/>
      </w:pPr>
      <w:r>
        <w:rPr>
          <w:rFonts w:ascii="Times New Roman"/>
          <w:b/>
          <w:i w:val="false"/>
          <w:color w:val="000000"/>
          <w:sz w:val="22"/>
          <w:lang w:val="pl-Pl"/>
        </w:rPr>
        <w:t xml:space="preserve">Rozdział 10a </w:t>
      </w:r>
    </w:p>
    <w:p>
      <w:pPr>
        <w:spacing w:before="25" w:after="0"/>
        <w:ind w:left="0"/>
        <w:jc w:val="center"/>
        <w:textAlignment w:val="auto"/>
      </w:pPr>
      <w:r>
        <w:rPr>
          <w:rFonts w:ascii="Times New Roman"/>
          <w:b/>
          <w:i w:val="false"/>
          <w:color w:val="000000"/>
          <w:sz w:val="22"/>
          <w:lang w:val="pl-Pl"/>
        </w:rPr>
        <w:t>Odpowiedzialność za wykroczenia przeciwko przepisom ustawy</w:t>
      </w:r>
    </w:p>
    <w:p>
      <w:pPr>
        <w:spacing w:before="80" w:after="0"/>
        <w:ind w:left="0"/>
        <w:jc w:val="left"/>
        <w:textAlignment w:val="auto"/>
      </w:pPr>
      <w:r>
        <w:rPr>
          <w:rFonts w:ascii="Times New Roman"/>
          <w:b/>
          <w:i w:val="false"/>
          <w:color w:val="000000"/>
          <w:sz w:val="22"/>
          <w:lang w:val="pl-Pl"/>
        </w:rPr>
        <w:t xml:space="preserve">Art. 56a. </w:t>
      </w:r>
      <w:r>
        <w:rPr>
          <w:rFonts w:ascii="Times New Roman"/>
          <w:b/>
          <w:i w:val="false"/>
          <w:color w:val="000000"/>
          <w:sz w:val="22"/>
          <w:lang w:val="pl-Pl"/>
        </w:rPr>
        <w:t xml:space="preserve"> [Kara grzywny]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Kto nie dopełnia obowiązków składania informacji, o których mowa w art. 21 ust. 2f, lub deklaracji, o których mowa w art. 49 ust. 2, podlega karze grzywny do 500 złotych.</w:t>
      </w:r>
    </w:p>
    <w:p>
      <w:pPr>
        <w:spacing w:before="80" w:after="0"/>
        <w:ind w:left="0"/>
        <w:jc w:val="left"/>
        <w:textAlignment w:val="auto"/>
      </w:pPr>
      <w:r>
        <w:rPr>
          <w:rFonts w:ascii="Times New Roman"/>
          <w:b/>
          <w:i w:val="false"/>
          <w:color w:val="000000"/>
          <w:sz w:val="22"/>
          <w:lang w:val="pl-Pl"/>
        </w:rPr>
        <w:t xml:space="preserve">Art. 56b. </w:t>
      </w:r>
      <w:r>
        <w:rPr>
          <w:rFonts w:ascii="Times New Roman"/>
          <w:b/>
          <w:i w:val="false"/>
          <w:color w:val="000000"/>
          <w:sz w:val="22"/>
          <w:lang w:val="pl-Pl"/>
        </w:rPr>
        <w:t xml:space="preserve"> [Uchybienia w kontroli lub obowiązkach informacyjnych]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Kto: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udaremnia lub utrudnia przeprowadzenie kontroli,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zgłasza nieprawdziwe dane lub udziela nieprawdziwych wyjaśnień lub odmawia ich udzielenia</w:t>
      </w:r>
    </w:p>
    <w:p>
      <w:pPr>
        <w:spacing w:before="25" w:after="0"/>
        <w:ind w:left="0"/>
        <w:jc w:val="both"/>
        <w:textAlignment w:val="auto"/>
      </w:pPr>
      <w:r>
        <w:rPr>
          <w:rFonts w:ascii="Times New Roman"/>
          <w:b w:val="false"/>
          <w:i w:val="false"/>
          <w:color w:val="000000"/>
          <w:sz w:val="22"/>
          <w:lang w:val="pl-Pl"/>
        </w:rPr>
        <w:t>- podlega karze grzywny do 5000 złotych.</w:t>
      </w:r>
    </w:p>
    <w:p>
      <w:pPr>
        <w:spacing w:before="80" w:after="0"/>
        <w:ind w:left="0"/>
        <w:jc w:val="left"/>
        <w:textAlignment w:val="auto"/>
      </w:pPr>
      <w:r>
        <w:rPr>
          <w:rFonts w:ascii="Times New Roman"/>
          <w:b/>
          <w:i w:val="false"/>
          <w:color w:val="000000"/>
          <w:sz w:val="22"/>
          <w:lang w:val="pl-Pl"/>
        </w:rPr>
        <w:t xml:space="preserve">Art. 56c. </w:t>
      </w:r>
      <w:r>
        <w:rPr>
          <w:rFonts w:ascii="Times New Roman"/>
          <w:b/>
          <w:i w:val="false"/>
          <w:color w:val="000000"/>
          <w:sz w:val="22"/>
          <w:lang w:val="pl-Pl"/>
        </w:rPr>
        <w:t xml:space="preserve"> [Stosowanie przepisów o wykroczeniach]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Orzekanie w sprawach o czyny, o których mowa w art. 56a i art. 56b, następuje w trybie przepisów </w:t>
      </w:r>
      <w:r>
        <w:rPr>
          <w:rFonts w:ascii="Times New Roman"/>
          <w:b w:val="false"/>
          <w:i w:val="false"/>
          <w:color w:val="1b1b1b"/>
          <w:sz w:val="22"/>
          <w:lang w:val="pl-Pl"/>
        </w:rPr>
        <w:t>ustawy</w:t>
      </w:r>
      <w:r>
        <w:rPr>
          <w:rFonts w:ascii="Times New Roman"/>
          <w:b w:val="false"/>
          <w:i w:val="false"/>
          <w:color w:val="000000"/>
          <w:sz w:val="22"/>
          <w:lang w:val="pl-Pl"/>
        </w:rPr>
        <w:t xml:space="preserve"> z dnia 24 sierpnia 2001 r. - Kodeks postępowania w sprawach o wykroczenia (Dz. U. z 2016 r. poz. 1713, z późn. zm.).</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Orzeczone i wyegzekwowane kary grzywien, o których mowa w art. 56a i art. 56b, sądy przekazują bezpośrednio na rachunek Funduszu.</w:t>
      </w:r>
    </w:p>
    <w:p>
      <w:pPr>
        <w:spacing w:before="146" w:after="0"/>
        <w:ind w:left="0"/>
        <w:jc w:val="center"/>
        <w:textAlignment w:val="auto"/>
      </w:pPr>
      <w:r>
        <w:rPr>
          <w:rFonts w:ascii="Times New Roman"/>
          <w:b/>
          <w:i w:val="false"/>
          <w:color w:val="000000"/>
          <w:sz w:val="22"/>
          <w:lang w:val="pl-Pl"/>
        </w:rPr>
        <w:t xml:space="preserve">Rozdział 11 </w:t>
      </w:r>
    </w:p>
    <w:p>
      <w:pPr>
        <w:spacing w:before="25" w:after="0"/>
        <w:ind w:left="0"/>
        <w:jc w:val="center"/>
        <w:textAlignment w:val="auto"/>
      </w:pPr>
      <w:r>
        <w:rPr>
          <w:rFonts w:ascii="Times New Roman"/>
          <w:b/>
          <w:i w:val="false"/>
          <w:color w:val="000000"/>
          <w:sz w:val="22"/>
          <w:lang w:val="pl-Pl"/>
        </w:rPr>
        <w:t>Zmiany w przepisach obowiązujących, przepisy przejściowe i końcowe</w:t>
      </w:r>
    </w:p>
    <w:p>
      <w:pPr>
        <w:spacing w:before="80" w:after="0"/>
        <w:ind w:left="0"/>
        <w:jc w:val="left"/>
        <w:textAlignment w:val="auto"/>
      </w:pPr>
      <w:r>
        <w:rPr>
          <w:rFonts w:ascii="Times New Roman"/>
          <w:b/>
          <w:i w:val="false"/>
          <w:color w:val="000000"/>
          <w:sz w:val="22"/>
          <w:lang w:val="pl-Pl"/>
        </w:rPr>
        <w:t xml:space="preserve">Art. 57. </w:t>
      </w:r>
    </w:p>
    <w:p>
      <w:pPr>
        <w:spacing w:after="0"/>
        <w:ind w:left="0"/>
        <w:jc w:val="left"/>
        <w:textAlignment w:val="auto"/>
      </w:pPr>
      <w:r>
        <w:rPr>
          <w:rFonts w:ascii="Times New Roman"/>
          <w:b w:val="false"/>
          <w:i w:val="false"/>
          <w:color w:val="000000"/>
          <w:sz w:val="22"/>
          <w:lang w:val="pl-Pl"/>
        </w:rPr>
        <w:t xml:space="preserve">W </w:t>
      </w:r>
      <w:r>
        <w:rPr>
          <w:rFonts w:ascii="Times New Roman"/>
          <w:b w:val="false"/>
          <w:i w:val="false"/>
          <w:color w:val="1b1b1b"/>
          <w:sz w:val="22"/>
          <w:lang w:val="pl-Pl"/>
        </w:rPr>
        <w:t>ustawie</w:t>
      </w:r>
      <w:r>
        <w:rPr>
          <w:rFonts w:ascii="Times New Roman"/>
          <w:b w:val="false"/>
          <w:i w:val="false"/>
          <w:color w:val="000000"/>
          <w:sz w:val="22"/>
          <w:lang w:val="pl-Pl"/>
        </w:rPr>
        <w:t xml:space="preserve"> z dnia 26 lipca 1991 r. o podatku dochodowym od osób fizycznych (Dz. U. z 1993 r. Nr 90, poz. 416 i Nr 134, poz. 646, z 1994 r. Nr 43, poz. 163, Nr 90, poz. 419, Nr 113, poz. 547, Nr 123, poz. 602 i Nr 126, poz. 626, z 1995 r. Nr 5, poz. 25 i Nr 133, poz. 654, z 1996 r. Nr 25, poz. 113, Nr 87, poz. 395, Nr 137, poz. 638, Nr 147, poz. 686 i Nr 156, poz. 776 oraz z 1997 r. Nr 28, poz. 153, Nr 30, poz. 164, Nr 71, poz. 449, Nr 85, poz. 538, Nr 96, poz. 592 i Nr 121, poz. 770) wprowadza się następujące zmiany: (zmiany pominięte).</w:t>
      </w:r>
    </w:p>
    <w:p>
      <w:pPr>
        <w:spacing w:before="80" w:after="0"/>
        <w:ind w:left="0"/>
        <w:jc w:val="left"/>
        <w:textAlignment w:val="auto"/>
      </w:pPr>
      <w:r>
        <w:rPr>
          <w:rFonts w:ascii="Times New Roman"/>
          <w:b/>
          <w:i w:val="false"/>
          <w:color w:val="000000"/>
          <w:sz w:val="22"/>
          <w:lang w:val="pl-Pl"/>
        </w:rPr>
        <w:t xml:space="preserve">Art. 58. </w:t>
      </w:r>
    </w:p>
    <w:p>
      <w:pPr>
        <w:spacing w:after="0"/>
        <w:ind w:left="0"/>
        <w:jc w:val="left"/>
        <w:textAlignment w:val="auto"/>
      </w:pPr>
      <w:r>
        <w:rPr>
          <w:rFonts w:ascii="Times New Roman"/>
          <w:b w:val="false"/>
          <w:i w:val="false"/>
          <w:color w:val="000000"/>
          <w:sz w:val="22"/>
          <w:lang w:val="pl-Pl"/>
        </w:rPr>
        <w:t xml:space="preserve">W </w:t>
      </w:r>
      <w:r>
        <w:rPr>
          <w:rFonts w:ascii="Times New Roman"/>
          <w:b w:val="false"/>
          <w:i w:val="false"/>
          <w:color w:val="1b1b1b"/>
          <w:sz w:val="22"/>
          <w:lang w:val="pl-Pl"/>
        </w:rPr>
        <w:t>ustawie</w:t>
      </w:r>
      <w:r>
        <w:rPr>
          <w:rFonts w:ascii="Times New Roman"/>
          <w:b w:val="false"/>
          <w:i w:val="false"/>
          <w:color w:val="000000"/>
          <w:sz w:val="22"/>
          <w:lang w:val="pl-Pl"/>
        </w:rPr>
        <w:t xml:space="preserve"> z dnia 15 lutego 1992 r. o podatku dochodowym od osób prawnych (Dz. U. z 1993 r. Nr 106, poz. 482 i Nr 134, poz. 646, z 1994 r. Nr 1, poz. 2, Nr 43, poz. 163, Nr 80, poz. 368, Nr 87, poz. 406, Nr 90, poz. 419, Nr 113, poz. 547, Nr 123, poz. 602 i Nr 127, poz. 627, z 1995 r. Nr 5, poz. 25, Nr 86, poz. 433, Nr 96, poz. 478, Nr 133, poz. 654 i Nr 142, poz. 704, z 1996 r. Nr 25, poz. 113, Nr 34, poz. 146, Nr 90, poz. 405, Nr 137, poz. 639 i Nr 147, poz. 686 oraz z 1997 r. Nr 9, poz. 44, Nr 28, poz. 153, Nr 79, poz. 484, Nr 96, poz. 592, Nr 107, poz. 685, Nr 118, poz. 754 i Nr 121, poz. 770) wprowadza się następujące zmiany: (zmiany pominięte).</w:t>
      </w:r>
    </w:p>
    <w:p>
      <w:pPr>
        <w:spacing w:before="80" w:after="0"/>
        <w:ind w:left="0"/>
        <w:jc w:val="left"/>
        <w:textAlignment w:val="auto"/>
      </w:pPr>
      <w:r>
        <w:rPr>
          <w:rFonts w:ascii="Times New Roman"/>
          <w:b/>
          <w:i w:val="false"/>
          <w:color w:val="000000"/>
          <w:sz w:val="22"/>
          <w:lang w:val="pl-Pl"/>
        </w:rPr>
        <w:t xml:space="preserve">Art. 59. </w:t>
      </w:r>
    </w:p>
    <w:p>
      <w:pPr>
        <w:spacing w:after="0"/>
        <w:ind w:left="0"/>
        <w:jc w:val="left"/>
        <w:textAlignment w:val="auto"/>
      </w:pPr>
      <w:r>
        <w:rPr>
          <w:rFonts w:ascii="Times New Roman"/>
          <w:b w:val="false"/>
          <w:i w:val="false"/>
          <w:color w:val="000000"/>
          <w:sz w:val="22"/>
          <w:lang w:val="pl-Pl"/>
        </w:rPr>
        <w:t xml:space="preserve">W </w:t>
      </w:r>
      <w:r>
        <w:rPr>
          <w:rFonts w:ascii="Times New Roman"/>
          <w:b w:val="false"/>
          <w:i w:val="false"/>
          <w:color w:val="1b1b1b"/>
          <w:sz w:val="22"/>
          <w:lang w:val="pl-Pl"/>
        </w:rPr>
        <w:t>ustawie</w:t>
      </w:r>
      <w:r>
        <w:rPr>
          <w:rFonts w:ascii="Times New Roman"/>
          <w:b w:val="false"/>
          <w:i w:val="false"/>
          <w:color w:val="000000"/>
          <w:sz w:val="22"/>
          <w:lang w:val="pl-Pl"/>
        </w:rPr>
        <w:t xml:space="preserve"> z dnia 8 stycznia 1993 r. o podatku od towarów i usług oraz o podatku akcyzowym (Dz. U. Nr 11, poz. 50, Nr 28, poz. 127 i Nr 129, poz. 599, z 1994 r. Nr 132, poz. 670, z 1995 r. Nr 44, poz. 231, Nr 142, poz. 702 i 703, z 1996 r. Nr 137, poz. 640 oraz z 1997 r. Nr 111, poz. 722) po art. 14 dodaje się art. 14a w brzmieniu: (zmiany pominięte).</w:t>
      </w:r>
    </w:p>
    <w:p>
      <w:pPr>
        <w:spacing w:before="80" w:after="0"/>
        <w:ind w:left="0"/>
        <w:jc w:val="left"/>
        <w:textAlignment w:val="auto"/>
      </w:pPr>
      <w:r>
        <w:rPr>
          <w:rFonts w:ascii="Times New Roman"/>
          <w:b/>
          <w:i w:val="false"/>
          <w:color w:val="000000"/>
          <w:sz w:val="22"/>
          <w:lang w:val="pl-Pl"/>
        </w:rPr>
        <w:t xml:space="preserve">Art. 60. </w:t>
      </w:r>
    </w:p>
    <w:p>
      <w:pPr>
        <w:spacing w:after="0"/>
        <w:ind w:left="0"/>
        <w:jc w:val="left"/>
        <w:textAlignment w:val="auto"/>
      </w:pPr>
      <w:r>
        <w:rPr>
          <w:rFonts w:ascii="Times New Roman"/>
          <w:b w:val="false"/>
          <w:i w:val="false"/>
          <w:color w:val="000000"/>
          <w:sz w:val="22"/>
          <w:lang w:val="pl-Pl"/>
        </w:rPr>
        <w:t xml:space="preserve">W ustawie z dnia 29 grudnia 1993 r. o ochronie roszczeń pracowniczych w razie niewypłacalności pracodawcy (Dz. U. z 1994 r. Nr 1, poz. 1, z 1995 r. Nr 87, poz. 435, z 1996 r. Nr 5, poz. 34 i z 1997 r. Nr 28, poz. 153) w </w:t>
      </w:r>
      <w:r>
        <w:rPr>
          <w:rFonts w:ascii="Times New Roman"/>
          <w:b w:val="false"/>
          <w:i w:val="false"/>
          <w:color w:val="1b1b1b"/>
          <w:sz w:val="22"/>
          <w:lang w:val="pl-Pl"/>
        </w:rPr>
        <w:t>art. 17</w:t>
      </w:r>
      <w:r>
        <w:rPr>
          <w:rFonts w:ascii="Times New Roman"/>
          <w:b w:val="false"/>
          <w:i w:val="false"/>
          <w:color w:val="000000"/>
          <w:sz w:val="22"/>
          <w:lang w:val="pl-Pl"/>
        </w:rPr>
        <w:t xml:space="preserve"> w ust. 3 po wyrazach "zakłady pracy chronionej" dodaje się wyrazy "lub zakłady aktywności zawodowej".</w:t>
      </w:r>
    </w:p>
    <w:p>
      <w:pPr>
        <w:spacing w:before="80" w:after="0"/>
        <w:ind w:left="0"/>
        <w:jc w:val="left"/>
        <w:textAlignment w:val="auto"/>
      </w:pPr>
      <w:r>
        <w:rPr>
          <w:rFonts w:ascii="Times New Roman"/>
          <w:b/>
          <w:i w:val="false"/>
          <w:color w:val="000000"/>
          <w:sz w:val="22"/>
          <w:lang w:val="pl-Pl"/>
        </w:rPr>
        <w:t xml:space="preserve">Art. 61. </w:t>
      </w:r>
    </w:p>
    <w:p>
      <w:pPr>
        <w:spacing w:after="0"/>
        <w:ind w:left="0"/>
        <w:jc w:val="left"/>
        <w:textAlignment w:val="auto"/>
      </w:pPr>
      <w:r>
        <w:rPr>
          <w:rFonts w:ascii="Times New Roman"/>
          <w:b w:val="false"/>
          <w:i w:val="false"/>
          <w:color w:val="000000"/>
          <w:sz w:val="22"/>
          <w:lang w:val="pl-Pl"/>
        </w:rPr>
        <w:t xml:space="preserve">W </w:t>
      </w:r>
      <w:r>
        <w:rPr>
          <w:rFonts w:ascii="Times New Roman"/>
          <w:b w:val="false"/>
          <w:i w:val="false"/>
          <w:color w:val="1b1b1b"/>
          <w:sz w:val="22"/>
          <w:lang w:val="pl-Pl"/>
        </w:rPr>
        <w:t>ustawie</w:t>
      </w:r>
      <w:r>
        <w:rPr>
          <w:rFonts w:ascii="Times New Roman"/>
          <w:b w:val="false"/>
          <w:i w:val="false"/>
          <w:color w:val="000000"/>
          <w:sz w:val="22"/>
          <w:lang w:val="pl-Pl"/>
        </w:rPr>
        <w:t xml:space="preserve"> z dnia 14 grudnia 1994 r. o zatrudnieniu i przeciwdziałaniu bezrobociu (Dz. U. z 1997 r. Nr 25, poz. 128, Nr 28, poz. 153, Nr 41, poz. 255, Nr 63, poz. 403, Nr 93, poz. 569, Nr 107, poz. 692 i Nr 121, poz. 770) wprowadza się następujące zmiany: (zmiany pominięte).</w:t>
      </w:r>
    </w:p>
    <w:p>
      <w:pPr>
        <w:spacing w:before="80" w:after="0"/>
        <w:ind w:left="0"/>
        <w:jc w:val="left"/>
        <w:textAlignment w:val="auto"/>
      </w:pPr>
      <w:r>
        <w:rPr>
          <w:rFonts w:ascii="Times New Roman"/>
          <w:b/>
          <w:i w:val="false"/>
          <w:color w:val="000000"/>
          <w:sz w:val="22"/>
          <w:lang w:val="pl-Pl"/>
        </w:rPr>
        <w:t xml:space="preserve">Art. 62. </w:t>
      </w:r>
      <w:r>
        <w:rPr>
          <w:rFonts w:ascii="Times New Roman"/>
          <w:b/>
          <w:i w:val="false"/>
          <w:color w:val="000000"/>
          <w:sz w:val="22"/>
          <w:lang w:val="pl-Pl"/>
        </w:rPr>
        <w:t xml:space="preserve"> [Grupy inwalidów]</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Osoby, które przed dniem wejścia w życie ustawy zostały zaliczone do jednej z grup inwalidów, są osobami niepełnosprawnymi w rozumieniu ustawy, jeżeli przed tą datą orzeczenie o zaliczeniu do jednej z grup inwalidów nie utraciło mocy.</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Orzeczenie o zaliczeniu do: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I grupy inwalidów traktowane jest na równi z orzeczeniem o znacznym stopniu niepełnosprawności;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II grupy inwalidów traktowane jest na równi z orzeczeniem o umiarkowanym stopniu niepełnosprawności;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III grupy inwalidów traktowane jest na równi z orzeczeniem o lekkim stopniu niepełnosprawności.</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Osoby o stałej albo długotrwałej niezdolności do pracy w gospodarstwie rolnym uznaje się za niepełnosprawne, z tym że: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osoby, którym przysługuje zasiłek pielęgnacyjny, traktuje się jako zaliczone do znacznego stopnia niepełnosprawności;</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pozostałe osoby traktuje się jako zaliczone do lekkiego stopnia niepełnosprawności.</w:t>
      </w:r>
    </w:p>
    <w:p>
      <w:pPr>
        <w:spacing w:before="80" w:after="0"/>
        <w:ind w:left="0"/>
        <w:jc w:val="left"/>
        <w:textAlignment w:val="auto"/>
      </w:pPr>
      <w:r>
        <w:rPr>
          <w:rFonts w:ascii="Times New Roman"/>
          <w:b/>
          <w:i w:val="false"/>
          <w:color w:val="000000"/>
          <w:sz w:val="22"/>
          <w:lang w:val="pl-Pl"/>
        </w:rPr>
        <w:t xml:space="preserve">Art. 63. </w:t>
      </w:r>
      <w:r>
        <w:rPr>
          <w:rFonts w:ascii="Times New Roman"/>
          <w:b/>
          <w:i w:val="false"/>
          <w:color w:val="000000"/>
          <w:sz w:val="22"/>
          <w:lang w:val="pl-Pl"/>
        </w:rPr>
        <w:t xml:space="preserve"> [Zachowanie dotychczasowych uprawnień]</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Osoby niepełnosprawne, o których mowa w art. 62, które przed dniem wejścia w życie ustawy nabyły prawo do świadczeń lub ulg na podstawie odrębnych przepisów, zachowują dotychczasowe uprawnienia.</w:t>
      </w:r>
    </w:p>
    <w:p>
      <w:pPr>
        <w:spacing w:before="80" w:after="0"/>
        <w:ind w:left="0"/>
        <w:jc w:val="left"/>
        <w:textAlignment w:val="auto"/>
      </w:pPr>
      <w:r>
        <w:rPr>
          <w:rFonts w:ascii="Times New Roman"/>
          <w:b/>
          <w:i w:val="false"/>
          <w:color w:val="000000"/>
          <w:sz w:val="22"/>
          <w:lang w:val="pl-Pl"/>
        </w:rPr>
        <w:t xml:space="preserve">Art. 64.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65. </w:t>
      </w:r>
    </w:p>
    <w:p>
      <w:pPr>
        <w:spacing w:after="0"/>
        <w:ind w:left="0"/>
        <w:jc w:val="left"/>
        <w:textAlignment w:val="auto"/>
      </w:pPr>
      <w:r>
        <w:rPr>
          <w:rFonts w:ascii="Times New Roman"/>
          <w:b w:val="false"/>
          <w:i w:val="false"/>
          <w:color w:val="000000"/>
          <w:sz w:val="22"/>
          <w:lang w:val="pl-Pl"/>
        </w:rPr>
        <w:t>(uchylony).</w:t>
      </w:r>
    </w:p>
    <w:p>
      <w:pPr>
        <w:spacing w:before="80" w:after="0"/>
        <w:ind w:left="0"/>
        <w:jc w:val="left"/>
        <w:textAlignment w:val="auto"/>
      </w:pPr>
      <w:r>
        <w:rPr>
          <w:rFonts w:ascii="Times New Roman"/>
          <w:b/>
          <w:i w:val="false"/>
          <w:color w:val="000000"/>
          <w:sz w:val="22"/>
          <w:lang w:val="pl-Pl"/>
        </w:rPr>
        <w:t xml:space="preserve">Art. 66. </w:t>
      </w:r>
      <w:r>
        <w:rPr>
          <w:rFonts w:ascii="Times New Roman"/>
          <w:b/>
          <w:i w:val="false"/>
          <w:color w:val="000000"/>
          <w:sz w:val="22"/>
          <w:lang w:val="pl-Pl"/>
        </w:rPr>
        <w:t xml:space="preserve"> [Przepisy stosowane w sprawach nieunormowanych]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W sprawach nieunormowanych przepisami ustawy stosuje się </w:t>
      </w:r>
      <w:r>
        <w:rPr>
          <w:rFonts w:ascii="Times New Roman"/>
          <w:b w:val="false"/>
          <w:i w:val="false"/>
          <w:color w:val="1b1b1b"/>
          <w:sz w:val="22"/>
          <w:lang w:val="pl-Pl"/>
        </w:rPr>
        <w:t>Kodeks postępowania administracyjnego</w:t>
      </w:r>
      <w:r>
        <w:rPr>
          <w:rFonts w:ascii="Times New Roman"/>
          <w:b w:val="false"/>
          <w:i w:val="false"/>
          <w:color w:val="000000"/>
          <w:sz w:val="22"/>
          <w:lang w:val="pl-Pl"/>
        </w:rPr>
        <w:t xml:space="preserve">, </w:t>
      </w:r>
      <w:r>
        <w:rPr>
          <w:rFonts w:ascii="Times New Roman"/>
          <w:b w:val="false"/>
          <w:i w:val="false"/>
          <w:color w:val="1b1b1b"/>
          <w:sz w:val="22"/>
          <w:lang w:val="pl-Pl"/>
        </w:rPr>
        <w:t>Kodeks cywilny</w:t>
      </w:r>
      <w:r>
        <w:rPr>
          <w:rFonts w:ascii="Times New Roman"/>
          <w:b w:val="false"/>
          <w:i w:val="false"/>
          <w:color w:val="000000"/>
          <w:sz w:val="22"/>
          <w:lang w:val="pl-Pl"/>
        </w:rPr>
        <w:t xml:space="preserve"> oraz </w:t>
      </w:r>
      <w:r>
        <w:rPr>
          <w:rFonts w:ascii="Times New Roman"/>
          <w:b w:val="false"/>
          <w:i w:val="false"/>
          <w:color w:val="1b1b1b"/>
          <w:sz w:val="22"/>
          <w:lang w:val="pl-Pl"/>
        </w:rPr>
        <w:t>Kodeks pracy</w:t>
      </w:r>
      <w:r>
        <w:rPr>
          <w:rFonts w:ascii="Times New Roman"/>
          <w:b w:val="false"/>
          <w:i w:val="false"/>
          <w:color w:val="000000"/>
          <w:sz w:val="22"/>
          <w:lang w:val="pl-Pl"/>
        </w:rPr>
        <w:t>.</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W postępowaniach o ustalenie niepełnosprawności albo stopnia niepełnosprawności nie stosuje się przepisu </w:t>
      </w:r>
      <w:r>
        <w:rPr>
          <w:rFonts w:ascii="Times New Roman"/>
          <w:b w:val="false"/>
          <w:i w:val="false"/>
          <w:color w:val="1b1b1b"/>
          <w:sz w:val="22"/>
          <w:lang w:val="pl-Pl"/>
        </w:rPr>
        <w:t>art. 79a</w:t>
      </w:r>
      <w:r>
        <w:rPr>
          <w:rFonts w:ascii="Times New Roman"/>
          <w:b w:val="false"/>
          <w:i w:val="false"/>
          <w:color w:val="000000"/>
          <w:sz w:val="22"/>
          <w:lang w:val="pl-Pl"/>
        </w:rPr>
        <w:t xml:space="preserve"> ustawy z dnia 14 czerwca 1960 r. - Kodeks postępowania administracyjnego (Dz. U. z 2017 r. poz. 1257 oraz z 2018 r. poz. 149).</w:t>
      </w:r>
    </w:p>
    <w:p>
      <w:pPr>
        <w:spacing w:before="80" w:after="0"/>
        <w:ind w:left="0"/>
        <w:jc w:val="left"/>
        <w:textAlignment w:val="auto"/>
      </w:pPr>
      <w:r>
        <w:rPr>
          <w:rFonts w:ascii="Times New Roman"/>
          <w:b/>
          <w:i w:val="false"/>
          <w:color w:val="000000"/>
          <w:sz w:val="22"/>
          <w:lang w:val="pl-Pl"/>
        </w:rPr>
        <w:t xml:space="preserve">Art. 67. </w:t>
      </w:r>
      <w:r>
        <w:rPr>
          <w:rFonts w:ascii="Times New Roman"/>
          <w:b/>
          <w:i w:val="false"/>
          <w:color w:val="000000"/>
          <w:sz w:val="22"/>
          <w:lang w:val="pl-Pl"/>
        </w:rPr>
        <w:t xml:space="preserve"> [Postępowania niezakończone do dnia wejścia w życie ustawy]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Sprawy, które zostały wszczęte, a niezakończone przed dniem wejścia w życie ustawy, podlegają rozpoznaniu według przepisów tej ustawy.</w:t>
      </w:r>
    </w:p>
    <w:p>
      <w:pPr>
        <w:spacing w:before="80" w:after="0"/>
        <w:ind w:left="0"/>
        <w:jc w:val="left"/>
        <w:textAlignment w:val="auto"/>
      </w:pPr>
      <w:r>
        <w:rPr>
          <w:rFonts w:ascii="Times New Roman"/>
          <w:b/>
          <w:i w:val="false"/>
          <w:color w:val="000000"/>
          <w:sz w:val="22"/>
          <w:lang w:val="pl-Pl"/>
        </w:rPr>
        <w:t xml:space="preserve">Art. 68. </w:t>
      </w:r>
      <w:r>
        <w:rPr>
          <w:rFonts w:ascii="Times New Roman"/>
          <w:b/>
          <w:i w:val="false"/>
          <w:color w:val="000000"/>
          <w:sz w:val="22"/>
          <w:lang w:val="pl-Pl"/>
        </w:rPr>
        <w:t xml:space="preserve"> [Utrzymanie w mocy aktów wykonawczych]</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Do czasu wydania przepisów wykonawczych przewidzianych w ustawie, nie dłużej jednak niż przez okres 12 miesięcy od dnia jej wejścia w życie, zachowują moc dotychczasowe przepisy wykonawcze, jeżeli nie są sprzeczne z ustawą.</w:t>
      </w:r>
    </w:p>
    <w:p>
      <w:pPr>
        <w:spacing w:before="80" w:after="0"/>
        <w:ind w:left="0"/>
        <w:jc w:val="left"/>
        <w:textAlignment w:val="auto"/>
      </w:pPr>
      <w:r>
        <w:rPr>
          <w:rFonts w:ascii="Times New Roman"/>
          <w:b/>
          <w:i w:val="false"/>
          <w:color w:val="000000"/>
          <w:sz w:val="22"/>
          <w:lang w:val="pl-Pl"/>
        </w:rPr>
        <w:t xml:space="preserve">Art. 68a. </w:t>
      </w:r>
      <w:r>
        <w:rPr>
          <w:rFonts w:ascii="Times New Roman"/>
          <w:b/>
          <w:i w:val="false"/>
          <w:color w:val="000000"/>
          <w:sz w:val="22"/>
          <w:lang w:val="pl-Pl"/>
        </w:rPr>
        <w:t xml:space="preserve"> [Wpłaty i składki w 1998 r.]</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W 1998 roku:</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obniżenie wpłat, o którym mowa w art. 22, oraz ulga w podatku dochodowym, o której mowa w </w:t>
      </w:r>
      <w:r>
        <w:rPr>
          <w:rFonts w:ascii="Times New Roman"/>
          <w:b w:val="false"/>
          <w:i/>
          <w:color w:val="000000"/>
          <w:sz w:val="22"/>
          <w:lang w:val="pl-Pl"/>
        </w:rPr>
        <w:t>art. 24 ust. 1</w:t>
      </w:r>
      <w:r>
        <w:rPr>
          <w:rFonts w:ascii="Times New Roman"/>
          <w:b w:val="false"/>
          <w:i w:val="false"/>
          <w:color w:val="000000"/>
          <w:sz w:val="22"/>
          <w:lang w:val="pl-Pl"/>
        </w:rPr>
        <w:t xml:space="preserve"> </w:t>
      </w:r>
      <w:r>
        <w:rPr>
          <w:rFonts w:ascii="Times New Roman"/>
          <w:b w:val="false"/>
          <w:i w:val="false"/>
          <w:color w:val="000000"/>
          <w:sz w:val="22"/>
          <w:vertAlign w:val="superscript"/>
          <w:lang w:val="pl-Pl"/>
        </w:rPr>
        <w:t>62</w:t>
      </w:r>
      <w:r>
        <w:rPr>
          <w:rFonts w:ascii="Times New Roman"/>
          <w:b w:val="false"/>
          <w:i w:val="false"/>
          <w:color w:val="000000"/>
          <w:sz w:val="22"/>
          <w:lang w:val="pl-Pl"/>
        </w:rPr>
        <w:t xml:space="preserve"> , przysługują zakładowi pracy, o którym mowa w </w:t>
      </w:r>
      <w:r>
        <w:rPr>
          <w:rFonts w:ascii="Times New Roman"/>
          <w:b w:val="false"/>
          <w:i w:val="false"/>
          <w:color w:val="1b1b1b"/>
          <w:sz w:val="22"/>
          <w:lang w:val="pl-Pl"/>
        </w:rPr>
        <w:t>art. 4</w:t>
      </w:r>
      <w:r>
        <w:rPr>
          <w:rFonts w:ascii="Times New Roman"/>
          <w:b w:val="false"/>
          <w:i w:val="false"/>
          <w:color w:val="000000"/>
          <w:sz w:val="22"/>
          <w:lang w:val="pl-Pl"/>
        </w:rPr>
        <w:t xml:space="preserve"> ustawy z dnia 9 maja 1991 r. o zatrudnianiu i rehabilitacji zawodowej osób niepełnosprawnych (Dz. U. Nr 46, poz. 201, Nr 80, poz. 350 i Nr 110, poz. 472, z 1992 r. Nr 21, poz. 85, z 1993 r. Nr 11, poz. 50, Nr 28, poz. 127, z 1995 r. Nr 1, poz. 1, Nr 5, poz. 25 i Nr 120, poz. 577, z 1996 r. Nr 100, poz. 461 oraz z 1997 r. Nr 123, poz. 776),</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składka na ubezpieczenie społeczne osób niepełnosprawnych, o której mowa w art. 25 ust. 1 pkt 1, dotyczy osób niepełnosprawnych zaliczonych do znacznego lub umiarkowanego stopnia niepełnosprawności, zatrudnionych przez pracodawcę zatrudniającego mniej niż 50 pracowników, bez przeliczania na pełny wymiar zatrudnienia,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z wpłat, o których mowa w </w:t>
      </w:r>
      <w:r>
        <w:rPr>
          <w:rFonts w:ascii="Times New Roman"/>
          <w:b w:val="false"/>
          <w:i w:val="false"/>
          <w:color w:val="1b1b1b"/>
          <w:sz w:val="22"/>
          <w:lang w:val="pl-Pl"/>
        </w:rPr>
        <w:t>art. 4</w:t>
      </w:r>
      <w:r>
        <w:rPr>
          <w:rFonts w:ascii="Times New Roman"/>
          <w:b w:val="false"/>
          <w:i w:val="false"/>
          <w:color w:val="000000"/>
          <w:sz w:val="22"/>
          <w:lang w:val="pl-Pl"/>
        </w:rPr>
        <w:t xml:space="preserve"> ustawy, o której mowa w pkt 1, zwolnione są państwowe i gminne jednostki organizacyjne będące jednostkami, zakładami budżetowymi lub gospodarstwami pomocniczymi,</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 xml:space="preserve">wpłaty, o których mowa w </w:t>
      </w:r>
      <w:r>
        <w:rPr>
          <w:rFonts w:ascii="Times New Roman"/>
          <w:b w:val="false"/>
          <w:i w:val="false"/>
          <w:color w:val="1b1b1b"/>
          <w:sz w:val="22"/>
          <w:lang w:val="pl-Pl"/>
        </w:rPr>
        <w:t>art. 4</w:t>
      </w:r>
      <w:r>
        <w:rPr>
          <w:rFonts w:ascii="Times New Roman"/>
          <w:b w:val="false"/>
          <w:i w:val="false"/>
          <w:color w:val="000000"/>
          <w:sz w:val="22"/>
          <w:lang w:val="pl-Pl"/>
        </w:rPr>
        <w:t xml:space="preserve"> ustawy, o której mowa w pkt 1, są przychodami Funduszu i mają do nich zastosowanie przepisy art. 49.</w:t>
      </w:r>
    </w:p>
    <w:p>
      <w:pPr>
        <w:spacing w:before="80" w:after="0"/>
        <w:ind w:left="0"/>
        <w:jc w:val="left"/>
        <w:textAlignment w:val="auto"/>
      </w:pPr>
      <w:r>
        <w:rPr>
          <w:rFonts w:ascii="Times New Roman"/>
          <w:b/>
          <w:i w:val="false"/>
          <w:color w:val="000000"/>
          <w:sz w:val="22"/>
          <w:lang w:val="pl-Pl"/>
        </w:rPr>
        <w:t xml:space="preserve">Art. 68b. </w:t>
      </w:r>
      <w:r>
        <w:rPr>
          <w:rFonts w:ascii="Times New Roman"/>
          <w:b/>
          <w:i w:val="false"/>
          <w:color w:val="000000"/>
          <w:sz w:val="22"/>
          <w:lang w:val="pl-Pl"/>
        </w:rPr>
        <w:t xml:space="preserve"> [Finansowanie poza dotacją celową]</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2004 r. i 2005 r. zadanie, o którym mowa w art. 26a, może zostać sfinansowane ze środków Funduszu, poza dotacją celową z budżetu państwa, do wysokości 45% środków zapewniających jego realizację.</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W 2006 r. zadanie, o którym mowa w art. 26a, może zostać sfinansowane ze środków Funduszu, poza dotacją celową z budżetu państwa, do wysokości 75% środków zapewniających jego realizację.</w:t>
      </w:r>
    </w:p>
    <w:p>
      <w:pPr>
        <w:spacing w:before="80" w:after="0"/>
        <w:ind w:left="0"/>
        <w:jc w:val="left"/>
        <w:textAlignment w:val="auto"/>
      </w:pPr>
      <w:r>
        <w:rPr>
          <w:rFonts w:ascii="Times New Roman"/>
          <w:b/>
          <w:i w:val="false"/>
          <w:color w:val="000000"/>
          <w:sz w:val="22"/>
          <w:lang w:val="pl-Pl"/>
        </w:rPr>
        <w:t xml:space="preserve">Art. 68c. </w:t>
      </w:r>
      <w:r>
        <w:rPr>
          <w:rFonts w:ascii="Times New Roman"/>
          <w:b/>
          <w:i w:val="false"/>
          <w:color w:val="000000"/>
          <w:sz w:val="22"/>
          <w:lang w:val="pl-Pl"/>
        </w:rPr>
        <w:t xml:space="preserve"> [Pułap dofinansowania ze środków PFRON]</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Maksymalne dofinansowanie ze środków Funduszu kosztów:</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działalności, w tym wynikających ze zwiększonej liczby uczestników warsztatu terapii zajęciowej, wynosi:</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w 2007 r. - 95% tych kosztów,</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w 2008 r. i w latach następnych - 90% tych kosztów,</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(uchylona);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tworzenia warsztatu terapii zajęciowej wynosi w 2005 r. i latach następnych - 70% tych kosztów.</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Maksymalne dofinansowanie ze środków Funduszu kosztów:</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działania zakładu aktywności zawodowej wynosi:</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w 2007 r. - 95% tych kosztów,</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w 2008 r. i w latach następnych - 90% tych kosztów;</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utworzenia zakładu aktywności zawodowej wynosi:</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w 2007 r. - 85% tych kosztów,</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w 2008 r. - 75% tych kosztów,</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w 2009 r. i w latach następnych - 65% tych kosztów.</w:t>
      </w:r>
    </w:p>
    <w:p>
      <w:pPr>
        <w:spacing w:before="80" w:after="0"/>
        <w:ind w:left="0"/>
        <w:jc w:val="left"/>
        <w:textAlignment w:val="auto"/>
      </w:pPr>
      <w:r>
        <w:rPr>
          <w:rFonts w:ascii="Times New Roman"/>
          <w:b/>
          <w:i w:val="false"/>
          <w:color w:val="000000"/>
          <w:sz w:val="22"/>
          <w:lang w:val="pl-Pl"/>
        </w:rPr>
        <w:t xml:space="preserve">Art. 68d. </w:t>
      </w:r>
      <w:r>
        <w:rPr>
          <w:rFonts w:ascii="Times New Roman"/>
          <w:b/>
          <w:i w:val="false"/>
          <w:color w:val="000000"/>
          <w:sz w:val="22"/>
          <w:lang w:val="pl-Pl"/>
        </w:rPr>
        <w:t xml:space="preserve"> [Dotacje celowe]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W 2008 r. Fundusz otrzymuje dotację celową z budżetu państwa na realizację zadania, o którym mowa w art. 26a, w wysokości do 25% środków zapewniających jego realizację.</w:t>
      </w:r>
    </w:p>
    <w:p>
      <w:pPr>
        <w:spacing w:before="80" w:after="0"/>
        <w:ind w:left="0"/>
        <w:jc w:val="left"/>
        <w:textAlignment w:val="auto"/>
      </w:pPr>
      <w:r>
        <w:rPr>
          <w:rFonts w:ascii="Times New Roman"/>
          <w:b/>
          <w:i w:val="false"/>
          <w:color w:val="000000"/>
          <w:sz w:val="22"/>
          <w:lang w:val="pl-Pl"/>
        </w:rPr>
        <w:t xml:space="preserve">Art. 68e. </w:t>
      </w:r>
      <w:r>
        <w:rPr>
          <w:rFonts w:ascii="Times New Roman"/>
          <w:b/>
          <w:i w:val="false"/>
          <w:color w:val="000000"/>
          <w:sz w:val="22"/>
          <w:lang w:val="pl-Pl"/>
        </w:rPr>
        <w:t xml:space="preserve"> [Dotacje celowe]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W roku 2009 Fundusz otrzymuje dotację celową z budżetu państwa na realizację zadania, o którym mowa w art. 26a, w wysokości nie mniejszej niż 30% środków zaplanowanych na realizację tego zadania na ten rok.</w:t>
      </w:r>
    </w:p>
    <w:p>
      <w:pPr>
        <w:spacing w:before="80" w:after="0"/>
        <w:ind w:left="0"/>
        <w:jc w:val="left"/>
        <w:textAlignment w:val="auto"/>
      </w:pPr>
      <w:r>
        <w:rPr>
          <w:rFonts w:ascii="Times New Roman"/>
          <w:b/>
          <w:i w:val="false"/>
          <w:color w:val="000000"/>
          <w:sz w:val="22"/>
          <w:lang w:val="pl-Pl"/>
        </w:rPr>
        <w:t xml:space="preserve">Art. 68f. </w:t>
      </w:r>
      <w:r>
        <w:rPr>
          <w:rFonts w:ascii="Times New Roman"/>
          <w:b/>
          <w:i w:val="false"/>
          <w:color w:val="000000"/>
          <w:sz w:val="22"/>
          <w:lang w:val="pl-Pl"/>
        </w:rPr>
        <w:t xml:space="preserve"> [Dotacje celowe]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W 2010 r. Fundusz otrzymuje dotację celową z budżetu państwa na realizację zadania, o którym mowa w art. 26a, w wysokości do 30% środków zaplanowanych na realizację tego zadania na ten rok.</w:t>
      </w:r>
    </w:p>
    <w:p>
      <w:pPr>
        <w:spacing w:before="80" w:after="0"/>
        <w:ind w:left="0"/>
        <w:jc w:val="left"/>
        <w:textAlignment w:val="auto"/>
      </w:pPr>
      <w:r>
        <w:rPr>
          <w:rFonts w:ascii="Times New Roman"/>
          <w:b/>
          <w:i w:val="false"/>
          <w:color w:val="000000"/>
          <w:sz w:val="22"/>
          <w:lang w:val="pl-Pl"/>
        </w:rPr>
        <w:t xml:space="preserve">Art. 68fa. </w:t>
      </w:r>
      <w:r>
        <w:rPr>
          <w:rFonts w:ascii="Times New Roman"/>
          <w:b/>
          <w:i w:val="false"/>
          <w:color w:val="000000"/>
          <w:sz w:val="22"/>
          <w:lang w:val="pl-Pl"/>
        </w:rPr>
        <w:t xml:space="preserve"> [Dotacje celowe]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W roku 2011 Fundusz otrzymuje dotację celową z budżetu państwa na realizację zadania, o którym mowa w art. 26a, w wysokości do 30% środków zaplanowanych na realizację tego zadania na ten rok.</w:t>
      </w:r>
    </w:p>
    <w:p>
      <w:pPr>
        <w:spacing w:before="80" w:after="0"/>
        <w:ind w:left="0"/>
        <w:jc w:val="left"/>
        <w:textAlignment w:val="auto"/>
      </w:pPr>
      <w:r>
        <w:rPr>
          <w:rFonts w:ascii="Times New Roman"/>
          <w:b/>
          <w:i w:val="false"/>
          <w:color w:val="000000"/>
          <w:sz w:val="22"/>
          <w:lang w:val="pl-Pl"/>
        </w:rPr>
        <w:t xml:space="preserve">Art. 68g. </w:t>
      </w:r>
      <w:r>
        <w:rPr>
          <w:rFonts w:ascii="Times New Roman"/>
          <w:b/>
          <w:i w:val="false"/>
          <w:color w:val="000000"/>
          <w:sz w:val="22"/>
          <w:lang w:val="pl-Pl"/>
        </w:rPr>
        <w:t xml:space="preserve"> [Dofinansowanie w 2010 r.]</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W 2010 r.:</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pracodawcy zatrudniającemu w przeliczeniu na pełny wymiar czasu pracy mniej niż 25 pracowników oraz pracodawcy zatrudniającemu co najmniej 25 pracowników w przeliczeniu na pełny wymiar czasu pracy i osiągającemu wskaźnik zatrudnienia osób niepełnosprawnych w wysokości co najmniej 6% przysługuje miesięczne dofinansowanie w wysokości:</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70% kwot, o których mowa w art. 26a ust. 1,</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90% kwot, o których mowa w art. 26a ust. 1 i 1b;</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pracodawcy prowadzącemu zakład pracy chronionej przysługuje 100% kwot dofinansowania, o których mowa w art. 26a ust. 1 i 1b.</w:t>
      </w:r>
    </w:p>
    <w:p>
      <w:pPr>
        <w:spacing w:before="80" w:after="0"/>
        <w:ind w:left="0"/>
        <w:jc w:val="left"/>
        <w:textAlignment w:val="auto"/>
      </w:pPr>
      <w:r>
        <w:rPr>
          <w:rFonts w:ascii="Times New Roman"/>
          <w:b/>
          <w:i w:val="false"/>
          <w:color w:val="000000"/>
          <w:sz w:val="22"/>
          <w:lang w:val="pl-Pl"/>
        </w:rPr>
        <w:t xml:space="preserve">Art. 68ga. </w:t>
      </w:r>
      <w:r>
        <w:rPr>
          <w:rFonts w:ascii="Times New Roman"/>
          <w:b/>
          <w:i w:val="false"/>
          <w:color w:val="000000"/>
          <w:sz w:val="22"/>
          <w:lang w:val="pl-Pl"/>
        </w:rPr>
        <w:t xml:space="preserve"> [Dofinansowanie w 2011 r.]</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W roku 2011:</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pracodawcy zatrudniającemu w przeliczeniu na pełny wymiar czasu pracy mniej niż 25 pracowników oraz pracodawcy zatrudniającemu co najmniej 25 pracowników w przeliczeniu na pełny wymiar czasu pracy i osiągającemu wskaźnik zatrudnienia osób niepełnosprawnych w wysokości co najmniej 6% przysługuje miesięczne dofinansowanie w wysokości:</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70% kwot, o których mowa w art. 26a ust. 1,</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90% kwot, o których mowa w art. 26a ust. 1 i 1b;</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pracodawcy prowadzącemu zakład pracy chronionej przysługuje 100% kwot dofinansowania, o których mowa w art. 26a ust. 1 i 1b.</w:t>
      </w:r>
    </w:p>
    <w:p>
      <w:pPr>
        <w:spacing w:before="80" w:after="0"/>
        <w:ind w:left="0"/>
        <w:jc w:val="left"/>
        <w:textAlignment w:val="auto"/>
      </w:pPr>
      <w:r>
        <w:rPr>
          <w:rFonts w:ascii="Times New Roman"/>
          <w:b/>
          <w:i w:val="false"/>
          <w:color w:val="000000"/>
          <w:sz w:val="22"/>
          <w:lang w:val="pl-Pl"/>
        </w:rPr>
        <w:t xml:space="preserve">Art. 68gb. </w:t>
      </w:r>
      <w:r>
        <w:rPr>
          <w:rFonts w:ascii="Times New Roman"/>
          <w:b/>
          <w:i w:val="false"/>
          <w:color w:val="000000"/>
          <w:sz w:val="22"/>
          <w:lang w:val="pl-Pl"/>
        </w:rPr>
        <w:t xml:space="preserve"> [Dofinansowanie w 2013 r.]</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W roku 2013:</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pracodawcy zatrudniającemu w przeliczeniu na pełny wymiar czasu pracy mniej niż 25 pracowników oraz pracodawcy zatrudniającemu co najmniej 25 pracowników w przeliczeniu na pełny wymiar czasu pracy i osiągającemu wskaźnik zatrudnienia osób niepełnosprawnych w wysokości co najmniej 6% przysługuje miesięczne dofinansowanie w wysokości:</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70% kwot, o których mowa w art. 26a ust. 1,</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90% kwot, o których mowa w art. 26a ust. 1 i 1b;</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pracodawcy prowadzącemu zakład pracy chronionej przysługuje 100% kwot dofinansowania, o których mowa w art. 26a ust. 1 i 1b.</w:t>
      </w:r>
    </w:p>
    <w:p>
      <w:pPr>
        <w:spacing w:before="80" w:after="0"/>
        <w:ind w:left="0"/>
        <w:jc w:val="left"/>
        <w:textAlignment w:val="auto"/>
      </w:pPr>
      <w:r>
        <w:rPr>
          <w:rFonts w:ascii="Times New Roman"/>
          <w:b/>
          <w:i w:val="false"/>
          <w:color w:val="000000"/>
          <w:sz w:val="22"/>
          <w:lang w:val="pl-Pl"/>
        </w:rPr>
        <w:t xml:space="preserve">Art. 68gc. </w:t>
      </w:r>
      <w:r>
        <w:rPr>
          <w:rFonts w:ascii="Times New Roman"/>
          <w:b/>
          <w:i w:val="false"/>
          <w:color w:val="000000"/>
          <w:sz w:val="22"/>
          <w:lang w:val="pl-Pl"/>
        </w:rPr>
        <w:t xml:space="preserve"> [Dofinansowanie w 2014 r.]</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Za okresy od stycznia 2014 r. do marca 2014 r. miesięczne dofinansowanie do wynagrodzenia pracownika niepełnosprawnego, określone w art. 26a, przysługuje w wysokości i na zasadach obowiązujących w roku 2013.</w:t>
      </w:r>
    </w:p>
    <w:p>
      <w:pPr>
        <w:spacing w:before="80" w:after="0"/>
        <w:ind w:left="0"/>
        <w:jc w:val="left"/>
        <w:textAlignment w:val="auto"/>
      </w:pPr>
      <w:r>
        <w:rPr>
          <w:rFonts w:ascii="Times New Roman"/>
          <w:b/>
          <w:i w:val="false"/>
          <w:color w:val="000000"/>
          <w:sz w:val="22"/>
          <w:lang w:val="pl-Pl"/>
        </w:rPr>
        <w:t xml:space="preserve">Art. 69. </w:t>
      </w:r>
      <w:r>
        <w:rPr>
          <w:rFonts w:ascii="Times New Roman"/>
          <w:b/>
          <w:i w:val="false"/>
          <w:color w:val="000000"/>
          <w:sz w:val="22"/>
          <w:lang w:val="pl-Pl"/>
        </w:rPr>
        <w:t xml:space="preserve"> [Przepis derogacyjny]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Traci moc </w:t>
      </w:r>
      <w:r>
        <w:rPr>
          <w:rFonts w:ascii="Times New Roman"/>
          <w:b w:val="false"/>
          <w:i w:val="false"/>
          <w:color w:val="1b1b1b"/>
          <w:sz w:val="22"/>
          <w:lang w:val="pl-Pl"/>
        </w:rPr>
        <w:t>ustawa</w:t>
      </w:r>
      <w:r>
        <w:rPr>
          <w:rFonts w:ascii="Times New Roman"/>
          <w:b w:val="false"/>
          <w:i w:val="false"/>
          <w:color w:val="000000"/>
          <w:sz w:val="22"/>
          <w:lang w:val="pl-Pl"/>
        </w:rPr>
        <w:t xml:space="preserve"> z dnia 9 maja 1991 r. o zatrudnianiu i rehabilitacji zawodowej osób niepełnosprawnych (Dz. U. poz. 201, z późn. zm.), z tym że: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1b1b1b"/>
          <w:sz w:val="22"/>
          <w:lang w:val="pl-Pl"/>
        </w:rPr>
        <w:t>art. 4</w:t>
      </w:r>
      <w:r>
        <w:rPr>
          <w:rFonts w:ascii="Times New Roman"/>
          <w:b w:val="false"/>
          <w:i w:val="false"/>
          <w:color w:val="000000"/>
          <w:sz w:val="22"/>
          <w:lang w:val="pl-Pl"/>
        </w:rPr>
        <w:t xml:space="preserve"> obowiązuje do dnia 31 grudnia 1998 r.;</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1b1b1b"/>
          <w:sz w:val="22"/>
          <w:lang w:val="pl-Pl"/>
        </w:rPr>
        <w:t>art. 19</w:t>
      </w:r>
      <w:r>
        <w:rPr>
          <w:rFonts w:ascii="Times New Roman"/>
          <w:b w:val="false"/>
          <w:i w:val="false"/>
          <w:color w:val="000000"/>
          <w:sz w:val="22"/>
          <w:lang w:val="pl-Pl"/>
        </w:rPr>
        <w:t xml:space="preserve"> obowiązuje do dnia 30 czerwca 1998 r.</w:t>
      </w:r>
    </w:p>
    <w:p>
      <w:pPr>
        <w:spacing w:before="80" w:after="0"/>
        <w:ind w:left="0"/>
        <w:jc w:val="left"/>
        <w:textAlignment w:val="auto"/>
      </w:pPr>
      <w:r>
        <w:rPr>
          <w:rFonts w:ascii="Times New Roman"/>
          <w:b/>
          <w:i w:val="false"/>
          <w:color w:val="000000"/>
          <w:sz w:val="22"/>
          <w:lang w:val="pl-Pl"/>
        </w:rPr>
        <w:t xml:space="preserve">Art. 70. </w:t>
      </w:r>
      <w:r>
        <w:rPr>
          <w:rFonts w:ascii="Times New Roman"/>
          <w:b/>
          <w:i w:val="false"/>
          <w:color w:val="000000"/>
          <w:sz w:val="22"/>
          <w:lang w:val="pl-Pl"/>
        </w:rPr>
        <w:t xml:space="preserve"> [Wejście w życie ustawy]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Ustawa wchodzi w życie z dniem 1 stycznia 1998 r., z tym że: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art. 6 ust. 7 wchodzi w życie z dniem ogłoszenia z mocą od dnia 1 września 1997 r.;</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art. 21 wchodzi w życie z dniem 1 stycznia 1999 r.;</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art. 31 ust. 1 pkt 2 oraz art. 59 wchodzą w życie z dniem ogłoszenia.</w:t>
      </w:r>
    </w:p>
    <w:p>
      <w:pPr>
        <w:spacing w:before="250" w:after="0"/>
        <w:ind w:left="0"/>
        <w:jc w:val="left"/>
        <w:textAlignment w:val="auto"/>
      </w:pP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Niniejsza ustawa dokonuje w zakresie swojej regulacji wdrożenia </w:t>
      </w:r>
      <w:r>
        <w:rPr>
          <w:rFonts w:ascii="Times New Roman"/>
          <w:b w:val="false"/>
          <w:i w:val="false"/>
          <w:color w:val="1b1b1b"/>
          <w:sz w:val="22"/>
          <w:lang w:val="pl-Pl"/>
        </w:rPr>
        <w:t>dyrektywy</w:t>
      </w:r>
      <w:r>
        <w:rPr>
          <w:rFonts w:ascii="Times New Roman"/>
          <w:b w:val="false"/>
          <w:i w:val="false"/>
          <w:color w:val="000000"/>
          <w:sz w:val="22"/>
          <w:lang w:val="pl-Pl"/>
        </w:rPr>
        <w:t xml:space="preserve"> 2000/78/WE z dnia 27 listopada 2000 r. ustanawiającej ogólne warunki ramowe równego traktowania w zakresie zatrudnienia i pracy (Dz. Urz. WE L 303 z 02.12.2000).</w:t>
      </w:r>
      <w:r>
        <w:rPr>
          <w:rFonts w:ascii="Times New Roman"/>
          <w:b w:val="false"/>
          <w:i w:val="false"/>
          <w:color w:val="000000"/>
          <w:sz w:val="22"/>
          <w:lang w:val="pl-Pl"/>
        </w:rPr>
        <w:t>Dane dotyczące ogłoszenia aktów prawa Unii Europejskiej, zamieszczone w niniejszej ustawie - z dniem uzyskania przez Rzeczpospolitą Polską członkostwa w Unii Europejskiej - dotyczą ogłoszenia tych aktów w Dzienniku Urzędowym Unii Europejskiej - wydanie specjalne.</w:t>
      </w:r>
    </w:p>
    <w:p>
      <w:pPr>
        <w:spacing w:after="0"/>
        <w:ind w:left="0"/>
        <w:jc w:val="left"/>
        <w:textAlignment w:val="auto"/>
      </w:pPr>
      <w:r>
        <w:rPr>
          <w:rFonts w:ascii="Times New Roman"/>
          <w:b w:val="false"/>
          <w:i w:val="false"/>
          <w:color w:val="000000"/>
          <w:sz w:val="22"/>
          <w:vertAlign w:val="superscript"/>
          <w:lang w:val="pl-Pl"/>
        </w:rPr>
        <w:t>2</w:t>
      </w:r>
      <w:r>
        <w:rPr>
          <w:rFonts w:ascii="Times New Roman"/>
          <w:b w:val="false"/>
          <w:i w:val="false"/>
          <w:color w:val="000000"/>
          <w:sz w:val="22"/>
          <w:lang w:val="pl-Pl"/>
        </w:rPr>
        <w:t xml:space="preserve"> Art. 6b ust. 3 zdanie wstępne zmienione przez art. 2 ustawy z dnia 13 września 2018 r. (Dz.U.2018.1925) zmieniającej nin. ustawę z dniem 23 października 2018 r.</w:t>
      </w:r>
    </w:p>
    <w:p>
      <w:pPr>
        <w:spacing w:after="0"/>
        <w:ind w:left="0"/>
        <w:jc w:val="left"/>
        <w:textAlignment w:val="auto"/>
      </w:pPr>
      <w:r>
        <w:rPr>
          <w:rFonts w:ascii="Times New Roman"/>
          <w:b w:val="false"/>
          <w:i w:val="false"/>
          <w:color w:val="000000"/>
          <w:sz w:val="22"/>
          <w:vertAlign w:val="superscript"/>
          <w:lang w:val="pl-Pl"/>
        </w:rPr>
        <w:t>3</w:t>
      </w:r>
      <w:r>
        <w:rPr>
          <w:rFonts w:ascii="Times New Roman"/>
          <w:b w:val="false"/>
          <w:i w:val="false"/>
          <w:color w:val="000000"/>
          <w:sz w:val="22"/>
          <w:lang w:val="pl-Pl"/>
        </w:rPr>
        <w:t xml:space="preserve"> Art. 6d ust. 4 pkt 2a dodany przez art. 1 pkt 1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4</w:t>
      </w:r>
      <w:r>
        <w:rPr>
          <w:rFonts w:ascii="Times New Roman"/>
          <w:b w:val="false"/>
          <w:i w:val="false"/>
          <w:color w:val="000000"/>
          <w:sz w:val="22"/>
          <w:lang w:val="pl-Pl"/>
        </w:rPr>
        <w:t xml:space="preserve"> Art. 6d ust. 4b zmieniony przez art. 119 ustawy z dnia 10 maja 2018 r. (Dz.U.2018.1000) zmieniającej nin. ustawę z dniem 25 maja 2018 r.</w:t>
      </w:r>
    </w:p>
    <w:p>
      <w:pPr>
        <w:spacing w:after="0"/>
        <w:ind w:left="0"/>
        <w:jc w:val="left"/>
        <w:textAlignment w:val="auto"/>
      </w:pPr>
      <w:r>
        <w:rPr>
          <w:rFonts w:ascii="Times New Roman"/>
          <w:b w:val="false"/>
          <w:i w:val="false"/>
          <w:color w:val="000000"/>
          <w:sz w:val="22"/>
          <w:vertAlign w:val="superscript"/>
          <w:lang w:val="pl-Pl"/>
        </w:rPr>
        <w:t>5</w:t>
      </w:r>
      <w:r>
        <w:rPr>
          <w:rFonts w:ascii="Times New Roman"/>
          <w:b w:val="false"/>
          <w:i w:val="false"/>
          <w:color w:val="000000"/>
          <w:sz w:val="22"/>
          <w:lang w:val="pl-Pl"/>
        </w:rPr>
        <w:t xml:space="preserve"> Art. 10 pkt 3 dodany przez art. 1 pkt 2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6</w:t>
      </w:r>
      <w:r>
        <w:rPr>
          <w:rFonts w:ascii="Times New Roman"/>
          <w:b w:val="false"/>
          <w:i w:val="false"/>
          <w:color w:val="000000"/>
          <w:sz w:val="22"/>
          <w:lang w:val="pl-Pl"/>
        </w:rPr>
        <w:t xml:space="preserve"> Art. 10a ust. 3a dodany przez art. 3 pkt 1 ustawy z dnia 15 grudnia 2017 r. (Dz.U.2017.2494) zmieniającej nin. ustawę z dniem 31 marca 2018 r.</w:t>
      </w:r>
    </w:p>
    <w:p>
      <w:pPr>
        <w:spacing w:after="0"/>
        <w:ind w:left="0"/>
        <w:jc w:val="left"/>
        <w:textAlignment w:val="auto"/>
      </w:pPr>
      <w:r>
        <w:rPr>
          <w:rFonts w:ascii="Times New Roman"/>
          <w:b w:val="false"/>
          <w:i w:val="false"/>
          <w:color w:val="000000"/>
          <w:sz w:val="22"/>
          <w:vertAlign w:val="superscript"/>
          <w:lang w:val="pl-Pl"/>
        </w:rPr>
        <w:t>7</w:t>
      </w:r>
      <w:r>
        <w:rPr>
          <w:rFonts w:ascii="Times New Roman"/>
          <w:b w:val="false"/>
          <w:i w:val="false"/>
          <w:color w:val="000000"/>
          <w:sz w:val="22"/>
          <w:lang w:val="pl-Pl"/>
        </w:rPr>
        <w:t xml:space="preserve"> Art. 10a ust. 3b dodany przez art. 3 pkt 1 ustawy z dnia 15 grudnia 2017 r. (Dz.U.2017.2494) zmieniającej nin. ustawę z dniem 31 marca 2018 r.</w:t>
      </w:r>
    </w:p>
    <w:p>
      <w:pPr>
        <w:spacing w:after="0"/>
        <w:ind w:left="0"/>
        <w:jc w:val="left"/>
        <w:textAlignment w:val="auto"/>
      </w:pPr>
      <w:r>
        <w:rPr>
          <w:rFonts w:ascii="Times New Roman"/>
          <w:b w:val="false"/>
          <w:i w:val="false"/>
          <w:color w:val="000000"/>
          <w:sz w:val="22"/>
          <w:vertAlign w:val="superscript"/>
          <w:lang w:val="pl-Pl"/>
        </w:rPr>
        <w:t>8</w:t>
      </w:r>
      <w:r>
        <w:rPr>
          <w:rFonts w:ascii="Times New Roman"/>
          <w:b w:val="false"/>
          <w:i w:val="false"/>
          <w:color w:val="000000"/>
          <w:sz w:val="22"/>
          <w:lang w:val="pl-Pl"/>
        </w:rPr>
        <w:t xml:space="preserve"> Art. 10a ust. 6 dodany przez art. 1 pkt 3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9</w:t>
      </w:r>
      <w:r>
        <w:rPr>
          <w:rFonts w:ascii="Times New Roman"/>
          <w:b w:val="false"/>
          <w:i w:val="false"/>
          <w:color w:val="000000"/>
          <w:sz w:val="22"/>
          <w:lang w:val="pl-Pl"/>
        </w:rPr>
        <w:t xml:space="preserve"> Art. 10aa dodany przez art. 1 pkt 4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10</w:t>
      </w:r>
      <w:r>
        <w:rPr>
          <w:rFonts w:ascii="Times New Roman"/>
          <w:b w:val="false"/>
          <w:i w:val="false"/>
          <w:color w:val="000000"/>
          <w:sz w:val="22"/>
          <w:lang w:val="pl-Pl"/>
        </w:rPr>
        <w:t xml:space="preserve"> Art. 10b ust. 2b zmieniony przez art. 1 pkt 5 lit. a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11</w:t>
      </w:r>
      <w:r>
        <w:rPr>
          <w:rFonts w:ascii="Times New Roman"/>
          <w:b w:val="false"/>
          <w:i w:val="false"/>
          <w:color w:val="000000"/>
          <w:sz w:val="22"/>
          <w:lang w:val="pl-Pl"/>
        </w:rPr>
        <w:t xml:space="preserve"> Art. 10b ust. 2c dodany przez art. 1 pkt 5 lit. b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12</w:t>
      </w:r>
      <w:r>
        <w:rPr>
          <w:rFonts w:ascii="Times New Roman"/>
          <w:b w:val="false"/>
          <w:i w:val="false"/>
          <w:color w:val="000000"/>
          <w:sz w:val="22"/>
          <w:lang w:val="pl-Pl"/>
        </w:rPr>
        <w:t xml:space="preserve"> Art. 10b ust. 5a dodany przez art. 3 pkt 2 ustawy z dnia 15 grudnia 2017 r. (Dz.U.2017.2494) zmieniającej nin. ustawę z dniem 31 marca 2018 r.</w:t>
      </w:r>
    </w:p>
    <w:p>
      <w:pPr>
        <w:spacing w:after="0"/>
        <w:ind w:left="0"/>
        <w:jc w:val="left"/>
        <w:textAlignment w:val="auto"/>
      </w:pPr>
      <w:r>
        <w:rPr>
          <w:rFonts w:ascii="Times New Roman"/>
          <w:b w:val="false"/>
          <w:i w:val="false"/>
          <w:color w:val="000000"/>
          <w:sz w:val="22"/>
          <w:vertAlign w:val="superscript"/>
          <w:lang w:val="pl-Pl"/>
        </w:rPr>
        <w:t>13</w:t>
      </w:r>
      <w:r>
        <w:rPr>
          <w:rFonts w:ascii="Times New Roman"/>
          <w:b w:val="false"/>
          <w:i w:val="false"/>
          <w:color w:val="000000"/>
          <w:sz w:val="22"/>
          <w:lang w:val="pl-Pl"/>
        </w:rPr>
        <w:t xml:space="preserve"> Art. 10f ust. 2a dodany przez art. 1 pkt 6 lit. a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14</w:t>
      </w:r>
      <w:r>
        <w:rPr>
          <w:rFonts w:ascii="Times New Roman"/>
          <w:b w:val="false"/>
          <w:i w:val="false"/>
          <w:color w:val="000000"/>
          <w:sz w:val="22"/>
          <w:lang w:val="pl-Pl"/>
        </w:rPr>
        <w:t xml:space="preserve"> Art. 10f ust. 2b dodany przez art. 1 pkt 6 lit. a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15</w:t>
      </w:r>
      <w:r>
        <w:rPr>
          <w:rFonts w:ascii="Times New Roman"/>
          <w:b w:val="false"/>
          <w:i w:val="false"/>
          <w:color w:val="000000"/>
          <w:sz w:val="22"/>
          <w:lang w:val="pl-Pl"/>
        </w:rPr>
        <w:t xml:space="preserve"> Art. 10f ust. 4 dodany przez art. 1 pkt 6 lit. b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16</w:t>
      </w:r>
      <w:r>
        <w:rPr>
          <w:rFonts w:ascii="Times New Roman"/>
          <w:b w:val="false"/>
          <w:i w:val="false"/>
          <w:color w:val="000000"/>
          <w:sz w:val="22"/>
          <w:lang w:val="pl-Pl"/>
        </w:rPr>
        <w:t xml:space="preserve"> Art. 10g dodany przez art. 1 pkt 7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17</w:t>
      </w:r>
      <w:r>
        <w:rPr>
          <w:rFonts w:ascii="Times New Roman"/>
          <w:b w:val="false"/>
          <w:i w:val="false"/>
          <w:color w:val="000000"/>
          <w:sz w:val="22"/>
          <w:lang w:val="pl-Pl"/>
        </w:rPr>
        <w:t xml:space="preserve"> Art. 10h dodany przez art. 1 pkt 7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18</w:t>
      </w:r>
      <w:r>
        <w:rPr>
          <w:rFonts w:ascii="Times New Roman"/>
          <w:b w:val="false"/>
          <w:i w:val="false"/>
          <w:color w:val="000000"/>
          <w:sz w:val="22"/>
          <w:lang w:val="pl-Pl"/>
        </w:rPr>
        <w:t xml:space="preserve"> Art. 12a ust. 1 zmieniony przez art. 3 pkt 3 ustawy z dnia 15 grudnia 2017 r. (Dz.U.2017.2494) zmieniającej nin. ustawę z dniem 31 marca 2018 r.</w:t>
      </w:r>
    </w:p>
    <w:p>
      <w:pPr>
        <w:spacing w:after="0"/>
        <w:ind w:left="0"/>
        <w:jc w:val="left"/>
        <w:textAlignment w:val="auto"/>
      </w:pPr>
      <w:r>
        <w:rPr>
          <w:rFonts w:ascii="Times New Roman"/>
          <w:b w:val="false"/>
          <w:i w:val="false"/>
          <w:color w:val="000000"/>
          <w:sz w:val="22"/>
          <w:vertAlign w:val="superscript"/>
          <w:lang w:val="pl-Pl"/>
        </w:rPr>
        <w:t>19</w:t>
      </w:r>
      <w:r>
        <w:rPr>
          <w:rFonts w:ascii="Times New Roman"/>
          <w:b w:val="false"/>
          <w:i w:val="false"/>
          <w:color w:val="000000"/>
          <w:sz w:val="22"/>
          <w:lang w:val="pl-Pl"/>
        </w:rPr>
        <w:t xml:space="preserve"> Art. 12a ust. 2 zmieniony przez art. 3 pkt 3 ustawy z dnia 15 grudnia 2017 r. (Dz.U.2017.2494) zmieniającej nin. ustawę z dniem 31 marca 2018 r.</w:t>
      </w:r>
    </w:p>
    <w:p>
      <w:pPr>
        <w:spacing w:after="0"/>
        <w:ind w:left="0"/>
        <w:jc w:val="left"/>
        <w:textAlignment w:val="auto"/>
      </w:pPr>
      <w:r>
        <w:rPr>
          <w:rFonts w:ascii="Times New Roman"/>
          <w:b w:val="false"/>
          <w:i w:val="false"/>
          <w:color w:val="000000"/>
          <w:sz w:val="22"/>
          <w:vertAlign w:val="superscript"/>
          <w:lang w:val="pl-Pl"/>
        </w:rPr>
        <w:t>20</w:t>
      </w:r>
      <w:r>
        <w:rPr>
          <w:rFonts w:ascii="Times New Roman"/>
          <w:b w:val="false"/>
          <w:i w:val="false"/>
          <w:color w:val="000000"/>
          <w:sz w:val="22"/>
          <w:lang w:val="pl-Pl"/>
        </w:rPr>
        <w:t xml:space="preserve"> Art. 21 ust. 2b zmieniony przez art. 1 pkt 8 lit. a ustawy z dnia 10 maja 2018 r. (Dz.U.2018.1076) zmieniającej nin. ustawę z dniem 1 października 2018 r.</w:t>
      </w:r>
    </w:p>
    <w:p>
      <w:pPr>
        <w:spacing w:after="0"/>
        <w:ind w:left="0"/>
        <w:jc w:val="left"/>
        <w:textAlignment w:val="auto"/>
      </w:pPr>
      <w:r>
        <w:rPr>
          <w:rFonts w:ascii="Times New Roman"/>
          <w:b w:val="false"/>
          <w:i w:val="false"/>
          <w:color w:val="000000"/>
          <w:sz w:val="22"/>
          <w:vertAlign w:val="superscript"/>
          <w:lang w:val="pl-Pl"/>
        </w:rPr>
        <w:t>21</w:t>
      </w:r>
      <w:r>
        <w:rPr>
          <w:rFonts w:ascii="Times New Roman"/>
          <w:b w:val="false"/>
          <w:i w:val="false"/>
          <w:color w:val="000000"/>
          <w:sz w:val="22"/>
          <w:lang w:val="pl-Pl"/>
        </w:rPr>
        <w:t xml:space="preserve"> Art. 21 ust. 3 zmieniony przez art. 1 pkt 8 lit. b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22</w:t>
      </w:r>
      <w:r>
        <w:rPr>
          <w:rFonts w:ascii="Times New Roman"/>
          <w:b w:val="false"/>
          <w:i w:val="false"/>
          <w:color w:val="000000"/>
          <w:sz w:val="22"/>
          <w:lang w:val="pl-Pl"/>
        </w:rPr>
        <w:t xml:space="preserve"> Art. 22 ust. 1a dodany przez art. 1 pkt 9 lit. a ustawy z dnia 10 maja 2018 r. (Dz.U.2018.1076) zmieniającej nin. ustawę z dniem 1 października 2018 r.</w:t>
      </w:r>
    </w:p>
    <w:p>
      <w:pPr>
        <w:spacing w:after="0"/>
        <w:ind w:left="0"/>
        <w:jc w:val="left"/>
        <w:textAlignment w:val="auto"/>
      </w:pPr>
      <w:r>
        <w:rPr>
          <w:rFonts w:ascii="Times New Roman"/>
          <w:b w:val="false"/>
          <w:i w:val="false"/>
          <w:color w:val="000000"/>
          <w:sz w:val="22"/>
          <w:vertAlign w:val="superscript"/>
          <w:lang w:val="pl-Pl"/>
        </w:rPr>
        <w:t>23</w:t>
      </w:r>
      <w:r>
        <w:rPr>
          <w:rFonts w:ascii="Times New Roman"/>
          <w:b w:val="false"/>
          <w:i w:val="false"/>
          <w:color w:val="000000"/>
          <w:sz w:val="22"/>
          <w:lang w:val="pl-Pl"/>
        </w:rPr>
        <w:t xml:space="preserve"> Art. 22 ust. 5 zmieniony przez art. 1 pkt 9 lit. b ustawy z dnia 10 maja 2018 r. (Dz.U.2018.1076) zmieniającej nin. ustawę z dniem 1 października 2018 r.</w:t>
      </w:r>
    </w:p>
    <w:p>
      <w:pPr>
        <w:spacing w:after="0"/>
        <w:ind w:left="0"/>
        <w:jc w:val="left"/>
        <w:textAlignment w:val="auto"/>
      </w:pPr>
      <w:r>
        <w:rPr>
          <w:rFonts w:ascii="Times New Roman"/>
          <w:b w:val="false"/>
          <w:i w:val="false"/>
          <w:color w:val="000000"/>
          <w:sz w:val="22"/>
          <w:vertAlign w:val="superscript"/>
          <w:lang w:val="pl-Pl"/>
        </w:rPr>
        <w:t>24</w:t>
      </w:r>
      <w:r>
        <w:rPr>
          <w:rFonts w:ascii="Times New Roman"/>
          <w:b w:val="false"/>
          <w:i w:val="false"/>
          <w:color w:val="000000"/>
          <w:sz w:val="22"/>
          <w:lang w:val="pl-Pl"/>
        </w:rPr>
        <w:t xml:space="preserve"> Art. 22 ust. 9 zmieniony przez art. 1 pkt 9 lit. c ustawy z dnia 10 maja 2018 r. (Dz.U.2018.1076) zmieniającej nin. ustawę z dniem 1 października 2018 r.</w:t>
      </w:r>
    </w:p>
    <w:p>
      <w:pPr>
        <w:spacing w:after="0"/>
        <w:ind w:left="0"/>
        <w:jc w:val="left"/>
        <w:textAlignment w:val="auto"/>
      </w:pPr>
      <w:r>
        <w:rPr>
          <w:rFonts w:ascii="Times New Roman"/>
          <w:b w:val="false"/>
          <w:i w:val="false"/>
          <w:color w:val="000000"/>
          <w:sz w:val="22"/>
          <w:vertAlign w:val="superscript"/>
          <w:lang w:val="pl-Pl"/>
        </w:rPr>
        <w:t>25</w:t>
      </w:r>
      <w:r>
        <w:rPr>
          <w:rFonts w:ascii="Times New Roman"/>
          <w:b w:val="false"/>
          <w:i w:val="false"/>
          <w:color w:val="000000"/>
          <w:sz w:val="22"/>
          <w:lang w:val="pl-Pl"/>
        </w:rPr>
        <w:t xml:space="preserve"> Art. 22 ust. 10 pkt 1 zmieniony przez art. 1 pkt 9 lit. d ustawy z dnia 10 maja 2018 r. (Dz.U.2018.1076) zmieniającej nin. ustawę z dniem 1 października 2018 r.</w:t>
      </w:r>
    </w:p>
    <w:p>
      <w:pPr>
        <w:spacing w:after="0"/>
        <w:ind w:left="0"/>
        <w:jc w:val="left"/>
        <w:textAlignment w:val="auto"/>
      </w:pPr>
      <w:r>
        <w:rPr>
          <w:rFonts w:ascii="Times New Roman"/>
          <w:b w:val="false"/>
          <w:i w:val="false"/>
          <w:color w:val="000000"/>
          <w:sz w:val="22"/>
          <w:vertAlign w:val="superscript"/>
          <w:lang w:val="pl-Pl"/>
        </w:rPr>
        <w:t>26</w:t>
      </w:r>
      <w:r>
        <w:rPr>
          <w:rFonts w:ascii="Times New Roman"/>
          <w:b w:val="false"/>
          <w:i w:val="false"/>
          <w:color w:val="000000"/>
          <w:sz w:val="22"/>
          <w:lang w:val="pl-Pl"/>
        </w:rPr>
        <w:t xml:space="preserve"> Art. 22 ust. 10a dodany przez art. 1 pkt 9 lit. e ustawy z dnia 10 maja 2018 r. (Dz.U.2018.1076) zmieniającej nin. ustawę z dniem 1 października 2018 r.</w:t>
      </w:r>
    </w:p>
    <w:p>
      <w:pPr>
        <w:spacing w:after="0"/>
        <w:ind w:left="0"/>
        <w:jc w:val="left"/>
        <w:textAlignment w:val="auto"/>
      </w:pPr>
      <w:r>
        <w:rPr>
          <w:rFonts w:ascii="Times New Roman"/>
          <w:b w:val="false"/>
          <w:i w:val="false"/>
          <w:color w:val="000000"/>
          <w:sz w:val="22"/>
          <w:vertAlign w:val="superscript"/>
          <w:lang w:val="pl-Pl"/>
        </w:rPr>
        <w:t>27</w:t>
      </w:r>
      <w:r>
        <w:rPr>
          <w:rFonts w:ascii="Times New Roman"/>
          <w:b w:val="false"/>
          <w:i w:val="false"/>
          <w:color w:val="000000"/>
          <w:sz w:val="22"/>
          <w:lang w:val="pl-Pl"/>
        </w:rPr>
        <w:t xml:space="preserve"> Art. 22 ust. 11 uchylony przez art. 1 pkt 9 lit. f ustawy z dnia 10 maja 2018 r. (Dz.U.2018.1076) zmieniającej nin. ustawę z dniem 1 października 2018 r.</w:t>
      </w:r>
    </w:p>
    <w:p>
      <w:pPr>
        <w:spacing w:after="0"/>
        <w:ind w:left="0"/>
        <w:jc w:val="left"/>
        <w:textAlignment w:val="auto"/>
      </w:pPr>
      <w:r>
        <w:rPr>
          <w:rFonts w:ascii="Times New Roman"/>
          <w:b w:val="false"/>
          <w:i w:val="false"/>
          <w:color w:val="000000"/>
          <w:sz w:val="22"/>
          <w:vertAlign w:val="superscript"/>
          <w:lang w:val="pl-Pl"/>
        </w:rPr>
        <w:t>28</w:t>
      </w:r>
      <w:r>
        <w:rPr>
          <w:rFonts w:ascii="Times New Roman"/>
          <w:b w:val="false"/>
          <w:i w:val="false"/>
          <w:color w:val="000000"/>
          <w:sz w:val="22"/>
          <w:lang w:val="pl-Pl"/>
        </w:rPr>
        <w:t xml:space="preserve"> Art. 22b ust. 1 pkt 4 zmieniony przez art. 1 pkt 10 ustawy z dnia 10 maja 2018 r. (Dz.U.2018.1076) zmieniającej nin. ustawę z dniem 1 października 2018 r.</w:t>
      </w:r>
    </w:p>
    <w:p>
      <w:pPr>
        <w:spacing w:after="0"/>
        <w:ind w:left="0"/>
        <w:jc w:val="left"/>
        <w:textAlignment w:val="auto"/>
      </w:pPr>
      <w:r>
        <w:rPr>
          <w:rFonts w:ascii="Times New Roman"/>
          <w:b w:val="false"/>
          <w:i w:val="false"/>
          <w:color w:val="000000"/>
          <w:sz w:val="22"/>
          <w:vertAlign w:val="superscript"/>
          <w:lang w:val="pl-Pl"/>
        </w:rPr>
        <w:t>29</w:t>
      </w:r>
      <w:r>
        <w:rPr>
          <w:rFonts w:ascii="Times New Roman"/>
          <w:b w:val="false"/>
          <w:i w:val="false"/>
          <w:color w:val="000000"/>
          <w:sz w:val="22"/>
          <w:lang w:val="pl-Pl"/>
        </w:rPr>
        <w:t xml:space="preserve"> Art. 25a ust. 1 część wspólna zmieniona przez art. 1 pkt 11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30</w:t>
      </w:r>
      <w:r>
        <w:rPr>
          <w:rFonts w:ascii="Times New Roman"/>
          <w:b w:val="false"/>
          <w:i w:val="false"/>
          <w:color w:val="000000"/>
          <w:sz w:val="22"/>
          <w:lang w:val="pl-Pl"/>
        </w:rPr>
        <w:t xml:space="preserve"> Art. 25d ust. 2 zmieniony przez art. 1 pkt 12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31</w:t>
      </w:r>
      <w:r>
        <w:rPr>
          <w:rFonts w:ascii="Times New Roman"/>
          <w:b w:val="false"/>
          <w:i w:val="false"/>
          <w:color w:val="000000"/>
          <w:sz w:val="22"/>
          <w:lang w:val="pl-Pl"/>
        </w:rPr>
        <w:t xml:space="preserve"> Art. 26a ust. 1a</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pkt 3 zmieniony przez art. 23 pkt 1 lit. a ustawy z dnia 23 października 2018 r. (Dz.U.2018.2192) zmieniającej nin. ustawę z dniem 1 stycznia 2019 r.</w:t>
      </w:r>
    </w:p>
    <w:p>
      <w:pPr>
        <w:spacing w:after="0"/>
        <w:ind w:left="0"/>
        <w:jc w:val="left"/>
        <w:textAlignment w:val="auto"/>
      </w:pPr>
      <w:r>
        <w:rPr>
          <w:rFonts w:ascii="Times New Roman"/>
          <w:b w:val="false"/>
          <w:i w:val="false"/>
          <w:color w:val="000000"/>
          <w:sz w:val="22"/>
          <w:vertAlign w:val="superscript"/>
          <w:lang w:val="pl-Pl"/>
        </w:rPr>
        <w:t>32</w:t>
      </w:r>
      <w:r>
        <w:rPr>
          <w:rFonts w:ascii="Times New Roman"/>
          <w:b w:val="false"/>
          <w:i w:val="false"/>
          <w:color w:val="000000"/>
          <w:sz w:val="22"/>
          <w:lang w:val="pl-Pl"/>
        </w:rPr>
        <w:t xml:space="preserve"> Art. 26a ust. 1a</w:t>
      </w:r>
      <w:r>
        <w:rPr>
          <w:rFonts w:ascii="Times New Roman"/>
          <w:b w:val="false"/>
          <w:i w:val="false"/>
          <w:color w:val="000000"/>
          <w:sz w:val="22"/>
          <w:vertAlign w:val="superscript"/>
          <w:lang w:val="pl-Pl"/>
        </w:rPr>
        <w:t>2</w:t>
      </w:r>
      <w:r>
        <w:rPr>
          <w:rFonts w:ascii="Times New Roman"/>
          <w:b w:val="false"/>
          <w:i w:val="false"/>
          <w:color w:val="000000"/>
          <w:sz w:val="22"/>
          <w:lang w:val="pl-Pl"/>
        </w:rPr>
        <w:t xml:space="preserve"> dodany przez art. 23 pkt 1 lit. b ustawy z dnia 23 października 2018 r. (Dz.U.2018.2192) zmieniającej nin. ustawę z dniem 1 stycznia 2019 r.</w:t>
      </w:r>
    </w:p>
    <w:p>
      <w:pPr>
        <w:spacing w:after="0"/>
        <w:ind w:left="0"/>
        <w:jc w:val="left"/>
        <w:textAlignment w:val="auto"/>
      </w:pPr>
      <w:r>
        <w:rPr>
          <w:rFonts w:ascii="Times New Roman"/>
          <w:b w:val="false"/>
          <w:i w:val="false"/>
          <w:color w:val="000000"/>
          <w:sz w:val="22"/>
          <w:vertAlign w:val="superscript"/>
          <w:lang w:val="pl-Pl"/>
        </w:rPr>
        <w:t>33</w:t>
      </w:r>
      <w:r>
        <w:rPr>
          <w:rFonts w:ascii="Times New Roman"/>
          <w:b w:val="false"/>
          <w:i w:val="false"/>
          <w:color w:val="000000"/>
          <w:sz w:val="22"/>
          <w:lang w:val="pl-Pl"/>
        </w:rPr>
        <w:t xml:space="preserve"> Art. 26a ust. 4 zmieniony przez art. 23 pkt 1 lit. c ustawy z dnia 23 października 2018 r. (Dz.U.2018.2192) zmieniającej nin. ustawę z dniem 1 stycznia 2019 r.</w:t>
      </w:r>
    </w:p>
    <w:p>
      <w:pPr>
        <w:spacing w:after="0"/>
        <w:ind w:left="0"/>
        <w:jc w:val="left"/>
        <w:textAlignment w:val="auto"/>
      </w:pPr>
      <w:r>
        <w:rPr>
          <w:rFonts w:ascii="Times New Roman"/>
          <w:b w:val="false"/>
          <w:i w:val="false"/>
          <w:color w:val="000000"/>
          <w:sz w:val="22"/>
          <w:vertAlign w:val="superscript"/>
          <w:lang w:val="pl-Pl"/>
        </w:rPr>
        <w:t>34</w:t>
      </w:r>
      <w:r>
        <w:rPr>
          <w:rFonts w:ascii="Times New Roman"/>
          <w:b w:val="false"/>
          <w:i w:val="false"/>
          <w:color w:val="000000"/>
          <w:sz w:val="22"/>
          <w:lang w:val="pl-Pl"/>
        </w:rPr>
        <w:t xml:space="preserve"> Art. 26a ust. 12 zmieniony przez art. 1 pkt 13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35</w:t>
      </w:r>
      <w:r>
        <w:rPr>
          <w:rFonts w:ascii="Times New Roman"/>
          <w:b w:val="false"/>
          <w:i w:val="false"/>
          <w:color w:val="000000"/>
          <w:sz w:val="22"/>
          <w:lang w:val="pl-Pl"/>
        </w:rPr>
        <w:t xml:space="preserve"> Art. 26c ust. 4b zmieniony przez art. 1 pkt 14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36</w:t>
      </w:r>
      <w:r>
        <w:rPr>
          <w:rFonts w:ascii="Times New Roman"/>
          <w:b w:val="false"/>
          <w:i w:val="false"/>
          <w:color w:val="000000"/>
          <w:sz w:val="22"/>
          <w:lang w:val="pl-Pl"/>
        </w:rPr>
        <w:t xml:space="preserve"> Art. 26g dodany przez art. 3 pkt 4 ustawy z dnia 15 grudnia 2017 r. (Dz.U.2017.2494) zmieniającej nin. ustawę z dniem 31 marca 2018 r.</w:t>
      </w:r>
    </w:p>
    <w:p>
      <w:pPr>
        <w:spacing w:after="0"/>
        <w:ind w:left="0"/>
        <w:jc w:val="left"/>
        <w:textAlignment w:val="auto"/>
      </w:pPr>
      <w:r>
        <w:rPr>
          <w:rFonts w:ascii="Times New Roman"/>
          <w:b w:val="false"/>
          <w:i w:val="false"/>
          <w:color w:val="000000"/>
          <w:sz w:val="22"/>
          <w:vertAlign w:val="superscript"/>
          <w:lang w:val="pl-Pl"/>
        </w:rPr>
        <w:t>37</w:t>
      </w:r>
      <w:r>
        <w:rPr>
          <w:rFonts w:ascii="Times New Roman"/>
          <w:b w:val="false"/>
          <w:i w:val="false"/>
          <w:color w:val="000000"/>
          <w:sz w:val="22"/>
          <w:lang w:val="pl-Pl"/>
        </w:rPr>
        <w:t xml:space="preserve"> Art. 30 ust. 3a zmieniony przez art. 1 pkt 15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38</w:t>
      </w:r>
      <w:r>
        <w:rPr>
          <w:rFonts w:ascii="Times New Roman"/>
          <w:b w:val="false"/>
          <w:i w:val="false"/>
          <w:color w:val="000000"/>
          <w:sz w:val="22"/>
          <w:lang w:val="pl-Pl"/>
        </w:rPr>
        <w:t xml:space="preserve"> Art. 33 ust. 6 dodany przez art. 4 ustawy z dnia 9 listopada 2018 r. (Dz.U.2018.2354) zmieniającej nin. ustawę z dniem 2 stycznia 2019 r.</w:t>
      </w:r>
    </w:p>
    <w:p>
      <w:pPr>
        <w:spacing w:after="0"/>
        <w:ind w:left="0"/>
        <w:jc w:val="left"/>
        <w:textAlignment w:val="auto"/>
      </w:pPr>
      <w:r>
        <w:rPr>
          <w:rFonts w:ascii="Times New Roman"/>
          <w:b w:val="false"/>
          <w:i w:val="false"/>
          <w:color w:val="000000"/>
          <w:sz w:val="22"/>
          <w:vertAlign w:val="superscript"/>
          <w:lang w:val="pl-Pl"/>
        </w:rPr>
        <w:t>39</w:t>
      </w:r>
      <w:r>
        <w:rPr>
          <w:rFonts w:ascii="Times New Roman"/>
          <w:b w:val="false"/>
          <w:i w:val="false"/>
          <w:color w:val="000000"/>
          <w:sz w:val="22"/>
          <w:lang w:val="pl-Pl"/>
        </w:rPr>
        <w:t xml:space="preserve"> Art. 35a ust. 1 pkt 9a zmieniony przez art. 3 pkt 5 ustawy z dnia 15 grudnia 2017 r. (Dz.U.2017.2494) zmieniającej nin. ustawę z dniem 31 marca 2018 r.</w:t>
      </w:r>
    </w:p>
    <w:p>
      <w:pPr>
        <w:spacing w:after="0"/>
        <w:ind w:left="0"/>
        <w:jc w:val="left"/>
        <w:textAlignment w:val="auto"/>
      </w:pPr>
      <w:r>
        <w:rPr>
          <w:rFonts w:ascii="Times New Roman"/>
          <w:b w:val="false"/>
          <w:i w:val="false"/>
          <w:color w:val="000000"/>
          <w:sz w:val="22"/>
          <w:vertAlign w:val="superscript"/>
          <w:lang w:val="pl-Pl"/>
        </w:rPr>
        <w:t>40</w:t>
      </w:r>
      <w:r>
        <w:rPr>
          <w:rFonts w:ascii="Times New Roman"/>
          <w:b w:val="false"/>
          <w:i w:val="false"/>
          <w:color w:val="000000"/>
          <w:sz w:val="22"/>
          <w:lang w:val="pl-Pl"/>
        </w:rPr>
        <w:t xml:space="preserve"> Art. 46 pkt 7 zmieniony przez art. 3 pkt 6 ustawy z dnia 15 grudnia 2017 r. (Dz.U.2017.2494) zmieniającej nin. ustawę z dniem 31 marca 2018 r.</w:t>
      </w:r>
    </w:p>
    <w:p>
      <w:pPr>
        <w:spacing w:after="0"/>
        <w:ind w:left="0"/>
        <w:jc w:val="left"/>
        <w:textAlignment w:val="auto"/>
      </w:pPr>
      <w:r>
        <w:rPr>
          <w:rFonts w:ascii="Times New Roman"/>
          <w:b w:val="false"/>
          <w:i w:val="false"/>
          <w:color w:val="000000"/>
          <w:sz w:val="22"/>
          <w:vertAlign w:val="superscript"/>
          <w:lang w:val="pl-Pl"/>
        </w:rPr>
        <w:t>41</w:t>
      </w:r>
      <w:r>
        <w:rPr>
          <w:rFonts w:ascii="Times New Roman"/>
          <w:b w:val="false"/>
          <w:i w:val="false"/>
          <w:color w:val="000000"/>
          <w:sz w:val="22"/>
          <w:lang w:val="pl-Pl"/>
        </w:rPr>
        <w:t xml:space="preserve"> Art. 47 ust. 1 pkt 4a dodany przez art. 1 pkt 16 lit. a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42</w:t>
      </w:r>
      <w:r>
        <w:rPr>
          <w:rFonts w:ascii="Times New Roman"/>
          <w:b w:val="false"/>
          <w:i w:val="false"/>
          <w:color w:val="000000"/>
          <w:sz w:val="22"/>
          <w:lang w:val="pl-Pl"/>
        </w:rPr>
        <w:t xml:space="preserve"> Art. 47 ust. 2c dodany przez art. 1 pkt 16 lit. b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43</w:t>
      </w:r>
      <w:r>
        <w:rPr>
          <w:rFonts w:ascii="Times New Roman"/>
          <w:b w:val="false"/>
          <w:i w:val="false"/>
          <w:color w:val="000000"/>
          <w:sz w:val="22"/>
          <w:lang w:val="pl-Pl"/>
        </w:rPr>
        <w:t xml:space="preserve"> Art. 48 ust. 4 dodany przez art. 1 pkt 17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44</w:t>
      </w:r>
      <w:r>
        <w:rPr>
          <w:rFonts w:ascii="Times New Roman"/>
          <w:b w:val="false"/>
          <w:i w:val="false"/>
          <w:color w:val="000000"/>
          <w:sz w:val="22"/>
          <w:lang w:val="pl-Pl"/>
        </w:rPr>
        <w:t xml:space="preserve"> Art. 48</w:t>
      </w:r>
      <w:r>
        <w:rPr>
          <w:rFonts w:ascii="Times New Roman"/>
          <w:b w:val="false"/>
          <w:i w:val="false"/>
          <w:color w:val="000000"/>
          <w:sz w:val="22"/>
          <w:vertAlign w:val="superscript"/>
          <w:lang w:val="pl-Pl"/>
        </w:rPr>
        <w:t>1</w:t>
      </w:r>
      <w:r>
        <w:rPr>
          <w:rFonts w:ascii="Times New Roman"/>
          <w:b w:val="false"/>
          <w:i w:val="false"/>
          <w:color w:val="000000"/>
          <w:sz w:val="22"/>
          <w:lang w:val="pl-Pl"/>
        </w:rPr>
        <w:t xml:space="preserve"> dodany przez art. 23 pkt 2 ustawy z dnia 23 października 2018 r. (Dz.U.2018.2192) zmieniającej nin. ustawę z dniem 1 stycznia 2019 r.</w:t>
      </w:r>
    </w:p>
    <w:p>
      <w:pPr>
        <w:spacing w:after="0"/>
        <w:ind w:left="0"/>
        <w:jc w:val="left"/>
        <w:textAlignment w:val="auto"/>
      </w:pPr>
      <w:r>
        <w:rPr>
          <w:rFonts w:ascii="Times New Roman"/>
          <w:b w:val="false"/>
          <w:i w:val="false"/>
          <w:color w:val="000000"/>
          <w:sz w:val="22"/>
          <w:vertAlign w:val="superscript"/>
          <w:lang w:val="pl-Pl"/>
        </w:rPr>
        <w:t>45</w:t>
      </w:r>
      <w:r>
        <w:rPr>
          <w:rFonts w:ascii="Times New Roman"/>
          <w:b w:val="false"/>
          <w:i w:val="false"/>
          <w:color w:val="000000"/>
          <w:sz w:val="22"/>
          <w:lang w:val="pl-Pl"/>
        </w:rPr>
        <w:t xml:space="preserve"> Art. 49e ust. 1a dodany przez art. 1 pkt 18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46</w:t>
      </w:r>
      <w:r>
        <w:rPr>
          <w:rFonts w:ascii="Times New Roman"/>
          <w:b w:val="false"/>
          <w:i w:val="false"/>
          <w:color w:val="000000"/>
          <w:sz w:val="22"/>
          <w:lang w:val="pl-Pl"/>
        </w:rPr>
        <w:t xml:space="preserve"> Art. 49g dodany przez art. 1 pkt 19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47</w:t>
      </w:r>
      <w:r>
        <w:rPr>
          <w:rFonts w:ascii="Times New Roman"/>
          <w:b w:val="false"/>
          <w:i w:val="false"/>
          <w:color w:val="000000"/>
          <w:sz w:val="22"/>
          <w:lang w:val="pl-Pl"/>
        </w:rPr>
        <w:t xml:space="preserve"> Art. 51 ust. 1 zmieniony przez art. 1 pkt 20 lit. a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48</w:t>
      </w:r>
      <w:r>
        <w:rPr>
          <w:rFonts w:ascii="Times New Roman"/>
          <w:b w:val="false"/>
          <w:i w:val="false"/>
          <w:color w:val="000000"/>
          <w:sz w:val="22"/>
          <w:lang w:val="pl-Pl"/>
        </w:rPr>
        <w:t xml:space="preserve"> Art. 51 ust. 2 zmieniony przez art. 1 pkt 20 lit. b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49</w:t>
      </w:r>
      <w:r>
        <w:rPr>
          <w:rFonts w:ascii="Times New Roman"/>
          <w:b w:val="false"/>
          <w:i w:val="false"/>
          <w:color w:val="000000"/>
          <w:sz w:val="22"/>
          <w:lang w:val="pl-Pl"/>
        </w:rPr>
        <w:t xml:space="preserve"> Art. 51 ust. 2a dodany przez art. 1 pkt 20 lit. c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50</w:t>
      </w:r>
      <w:r>
        <w:rPr>
          <w:rFonts w:ascii="Times New Roman"/>
          <w:b w:val="false"/>
          <w:i w:val="false"/>
          <w:color w:val="000000"/>
          <w:sz w:val="22"/>
          <w:lang w:val="pl-Pl"/>
        </w:rPr>
        <w:t xml:space="preserve"> Ustawa utraciła moc z dniem 8 czerwca 2004 r. na podstawie art. 70 ustawy z dnia 20 kwietnia 2004 r. o Narodowym Planie Rozwoju (Dz.U.2004.116.1206).</w:t>
      </w:r>
    </w:p>
    <w:p>
      <w:pPr>
        <w:spacing w:after="0"/>
        <w:ind w:left="0"/>
        <w:jc w:val="left"/>
        <w:textAlignment w:val="auto"/>
      </w:pPr>
      <w:r>
        <w:rPr>
          <w:rFonts w:ascii="Times New Roman"/>
          <w:b w:val="false"/>
          <w:i w:val="false"/>
          <w:color w:val="000000"/>
          <w:sz w:val="22"/>
          <w:vertAlign w:val="superscript"/>
          <w:lang w:val="pl-Pl"/>
        </w:rPr>
        <w:t>51</w:t>
      </w:r>
      <w:r>
        <w:rPr>
          <w:rFonts w:ascii="Times New Roman"/>
          <w:b w:val="false"/>
          <w:i w:val="false"/>
          <w:color w:val="000000"/>
          <w:sz w:val="22"/>
          <w:lang w:val="pl-Pl"/>
        </w:rPr>
        <w:t xml:space="preserve"> Art. 51a ust. 2 uchylony przez art. 1 pkt 21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52</w:t>
      </w:r>
      <w:r>
        <w:rPr>
          <w:rFonts w:ascii="Times New Roman"/>
          <w:b w:val="false"/>
          <w:i w:val="false"/>
          <w:color w:val="000000"/>
          <w:sz w:val="22"/>
          <w:lang w:val="pl-Pl"/>
        </w:rPr>
        <w:t xml:space="preserve"> Art. 51a ust. 3 uchylony przez art. 1 pkt 21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53</w:t>
      </w:r>
      <w:r>
        <w:rPr>
          <w:rFonts w:ascii="Times New Roman"/>
          <w:b w:val="false"/>
          <w:i w:val="false"/>
          <w:color w:val="000000"/>
          <w:sz w:val="22"/>
          <w:lang w:val="pl-Pl"/>
        </w:rPr>
        <w:t xml:space="preserve"> Art. 51a ust. 4 uchylony przez art. 1 pkt 21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54</w:t>
      </w:r>
      <w:r>
        <w:rPr>
          <w:rFonts w:ascii="Times New Roman"/>
          <w:b w:val="false"/>
          <w:i w:val="false"/>
          <w:color w:val="000000"/>
          <w:sz w:val="22"/>
          <w:lang w:val="pl-Pl"/>
        </w:rPr>
        <w:t xml:space="preserve"> Art. 51a ust. 5 uchylony przez art. 1 pkt 21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55</w:t>
      </w:r>
      <w:r>
        <w:rPr>
          <w:rFonts w:ascii="Times New Roman"/>
          <w:b w:val="false"/>
          <w:i w:val="false"/>
          <w:color w:val="000000"/>
          <w:sz w:val="22"/>
          <w:lang w:val="pl-Pl"/>
        </w:rPr>
        <w:t xml:space="preserve"> Art. 51a ust. 6 uchylony przez art. 1 pkt 21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56</w:t>
      </w:r>
      <w:r>
        <w:rPr>
          <w:rFonts w:ascii="Times New Roman"/>
          <w:b w:val="false"/>
          <w:i w:val="false"/>
          <w:color w:val="000000"/>
          <w:sz w:val="22"/>
          <w:lang w:val="pl-Pl"/>
        </w:rPr>
        <w:t xml:space="preserve"> Art. 51a ust. 7 uchylony przez art. 1 pkt 21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57</w:t>
      </w:r>
      <w:r>
        <w:rPr>
          <w:rFonts w:ascii="Times New Roman"/>
          <w:b w:val="false"/>
          <w:i w:val="false"/>
          <w:color w:val="000000"/>
          <w:sz w:val="22"/>
          <w:lang w:val="pl-Pl"/>
        </w:rPr>
        <w:t xml:space="preserve"> Art. 51a ust. 8 uchylony przez art. 1 pkt 21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58</w:t>
      </w:r>
      <w:r>
        <w:rPr>
          <w:rFonts w:ascii="Times New Roman"/>
          <w:b w:val="false"/>
          <w:i w:val="false"/>
          <w:color w:val="000000"/>
          <w:sz w:val="22"/>
          <w:lang w:val="pl-Pl"/>
        </w:rPr>
        <w:t xml:space="preserve"> Art. 51a ust. 9 uchylony przez art. 1 pkt 21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59</w:t>
      </w:r>
      <w:r>
        <w:rPr>
          <w:rFonts w:ascii="Times New Roman"/>
          <w:b w:val="false"/>
          <w:i w:val="false"/>
          <w:color w:val="000000"/>
          <w:sz w:val="22"/>
          <w:lang w:val="pl-Pl"/>
        </w:rPr>
        <w:t xml:space="preserve"> Art. 51a ust. 10 uchylony przez art. 1 pkt 21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60</w:t>
      </w:r>
      <w:r>
        <w:rPr>
          <w:rFonts w:ascii="Times New Roman"/>
          <w:b w:val="false"/>
          <w:i w:val="false"/>
          <w:color w:val="000000"/>
          <w:sz w:val="22"/>
          <w:lang w:val="pl-Pl"/>
        </w:rPr>
        <w:t xml:space="preserve"> Art. 51a ust. 11 uchylony przez art. 1 pkt 21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61</w:t>
      </w:r>
      <w:r>
        <w:rPr>
          <w:rFonts w:ascii="Times New Roman"/>
          <w:b w:val="false"/>
          <w:i w:val="false"/>
          <w:color w:val="000000"/>
          <w:sz w:val="22"/>
          <w:lang w:val="pl-Pl"/>
        </w:rPr>
        <w:t xml:space="preserve"> Art. 51a ust. 12 uchylony przez art. 1 pkt 21 ustawy z dnia 10 maja 2018 r. (Dz.U.2018.1076) zmieniającej nin. ustawę z dniem 6 czerwca 2018 r.</w:t>
      </w:r>
    </w:p>
    <w:p>
      <w:pPr>
        <w:spacing w:after="0"/>
        <w:ind w:left="0"/>
        <w:jc w:val="left"/>
        <w:textAlignment w:val="auto"/>
      </w:pPr>
      <w:r>
        <w:rPr>
          <w:rFonts w:ascii="Times New Roman"/>
          <w:b w:val="false"/>
          <w:i w:val="false"/>
          <w:color w:val="000000"/>
          <w:sz w:val="22"/>
          <w:vertAlign w:val="superscript"/>
          <w:lang w:val="pl-Pl"/>
        </w:rPr>
        <w:t>62</w:t>
      </w:r>
      <w:r>
        <w:rPr>
          <w:rFonts w:ascii="Times New Roman"/>
          <w:b w:val="false"/>
          <w:i w:val="false"/>
          <w:color w:val="000000"/>
          <w:sz w:val="22"/>
          <w:lang w:val="pl-Pl"/>
        </w:rPr>
        <w:t xml:space="preserve"> Art. 24 ust. 1 uchylony przez art. 2 pkt 1 ustawy z dnia 20 listopada 1999 r. o zmianie ustawy o podatku dochodowym od osób prawnych (Dz.U.1999.95.1101), która weszła w życie z dniem 1 stycznia 2000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2"/>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2"/>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2"/>
    </w:rPr>
  </w:style>
  <w:style w:type="paragraph" w:styleId="TitleStyle">
    <w:name w:val="TitleStyle"/>
    <w:pPr>
      <w:spacing w:line="240" w:lineRule="auto"/>
      <w:jc w:val="left"/>
    </w:pPr>
    <w:rPr>
      <w:rFonts w:ascii="Times New Roman" w:hAnsi="Times New Roman" w:eastAsia="Times New Roman" w:cs="Times New Roman"/>
      <w:b/>
      <w:color w:val="000000" w:themeColor="text1"/>
      <w:sz w:val="22"/>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2"/>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2"/>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2"/>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2"/>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2"/>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